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52018" w14:textId="251B6A86" w:rsidR="007A46E5" w:rsidRDefault="007A46E5" w:rsidP="007A46E5">
      <w:pPr>
        <w:pStyle w:val="NormaleWeb"/>
        <w:shd w:val="clear" w:color="auto" w:fill="FFFFFF"/>
        <w:spacing w:before="240" w:beforeAutospacing="0" w:after="240" w:afterAutospacing="0" w:line="360" w:lineRule="auto"/>
        <w:jc w:val="both"/>
        <w:rPr>
          <w:lang w:val="en-US"/>
        </w:rPr>
      </w:pPr>
    </w:p>
    <w:p w14:paraId="27D24E47" w14:textId="77777777" w:rsidR="00FA68FC" w:rsidRDefault="00FA68FC" w:rsidP="007A46E5">
      <w:pPr>
        <w:pStyle w:val="NormaleWeb"/>
        <w:shd w:val="clear" w:color="auto" w:fill="FFFFFF"/>
        <w:spacing w:before="240" w:beforeAutospacing="0" w:after="240" w:afterAutospacing="0" w:line="360" w:lineRule="auto"/>
        <w:jc w:val="both"/>
        <w:rPr>
          <w:lang w:val="en-US"/>
        </w:rPr>
      </w:pPr>
    </w:p>
    <w:p w14:paraId="655531A0" w14:textId="3E24ED72" w:rsidR="009420CA" w:rsidRDefault="009420CA" w:rsidP="007A46E5">
      <w:pPr>
        <w:pStyle w:val="NormaleWeb"/>
        <w:shd w:val="clear" w:color="auto" w:fill="FFFFFF"/>
        <w:spacing w:before="240" w:beforeAutospacing="0" w:after="240" w:afterAutospacing="0" w:line="360" w:lineRule="auto"/>
        <w:jc w:val="both"/>
        <w:rPr>
          <w:lang w:val="en-US"/>
        </w:rPr>
      </w:pPr>
    </w:p>
    <w:p w14:paraId="29B6027C" w14:textId="77777777" w:rsidR="00D57155" w:rsidRDefault="00D57155" w:rsidP="007A46E5">
      <w:pPr>
        <w:pStyle w:val="NormaleWeb"/>
        <w:shd w:val="clear" w:color="auto" w:fill="FFFFFF"/>
        <w:spacing w:before="240" w:beforeAutospacing="0" w:after="240" w:afterAutospacing="0" w:line="360" w:lineRule="auto"/>
        <w:jc w:val="both"/>
        <w:rPr>
          <w:lang w:val="en-US"/>
        </w:rPr>
      </w:pPr>
    </w:p>
    <w:p w14:paraId="73F7A9C3" w14:textId="77777777" w:rsidR="009420CA" w:rsidRDefault="009420CA" w:rsidP="007A46E5">
      <w:pPr>
        <w:pStyle w:val="NormaleWeb"/>
        <w:shd w:val="clear" w:color="auto" w:fill="FFFFFF"/>
        <w:spacing w:before="240" w:beforeAutospacing="0" w:after="240" w:afterAutospacing="0" w:line="360" w:lineRule="auto"/>
        <w:jc w:val="both"/>
        <w:rPr>
          <w:lang w:val="en-US"/>
        </w:rPr>
      </w:pPr>
    </w:p>
    <w:p w14:paraId="7625156F" w14:textId="6D515CB5" w:rsidR="00D378E1" w:rsidRPr="00115304" w:rsidRDefault="003A13AC" w:rsidP="007A46E5">
      <w:pPr>
        <w:pStyle w:val="NormaleWeb"/>
        <w:shd w:val="clear" w:color="auto" w:fill="FFFFFF"/>
        <w:spacing w:before="240" w:beforeAutospacing="0" w:after="240" w:afterAutospacing="0" w:line="360" w:lineRule="auto"/>
        <w:jc w:val="center"/>
        <w:rPr>
          <w:sz w:val="72"/>
          <w:szCs w:val="72"/>
        </w:rPr>
      </w:pPr>
      <w:bookmarkStart w:id="0" w:name="_Hlk535679859"/>
      <w:r w:rsidRPr="00115304">
        <w:rPr>
          <w:b/>
          <w:sz w:val="72"/>
          <w:szCs w:val="72"/>
        </w:rPr>
        <w:t>LA</w:t>
      </w:r>
      <w:r w:rsidR="00FA68FC">
        <w:rPr>
          <w:b/>
          <w:sz w:val="72"/>
          <w:szCs w:val="72"/>
        </w:rPr>
        <w:t xml:space="preserve"> DISCIPLINA URBANISTICA E LE DIVERSE DECLINAZIONI DELLA NULLIT</w:t>
      </w:r>
      <w:r w:rsidR="00CD7909" w:rsidRPr="00115304">
        <w:rPr>
          <w:b/>
          <w:sz w:val="72"/>
          <w:szCs w:val="72"/>
        </w:rPr>
        <w:t>À</w:t>
      </w:r>
    </w:p>
    <w:bookmarkEnd w:id="0"/>
    <w:p w14:paraId="6E577CFA" w14:textId="7F036618" w:rsidR="007A46E5" w:rsidRDefault="007A46E5" w:rsidP="007A46E5">
      <w:pPr>
        <w:pStyle w:val="NormaleWeb"/>
        <w:shd w:val="clear" w:color="auto" w:fill="FFFFFF"/>
        <w:spacing w:before="240" w:beforeAutospacing="0" w:after="240" w:afterAutospacing="0" w:line="360" w:lineRule="auto"/>
        <w:jc w:val="center"/>
        <w:rPr>
          <w:sz w:val="28"/>
          <w:szCs w:val="28"/>
        </w:rPr>
      </w:pPr>
    </w:p>
    <w:p w14:paraId="4070B036" w14:textId="77777777" w:rsidR="00D57155" w:rsidRDefault="00D57155" w:rsidP="007A46E5">
      <w:pPr>
        <w:pStyle w:val="NormaleWeb"/>
        <w:shd w:val="clear" w:color="auto" w:fill="FFFFFF"/>
        <w:spacing w:before="240" w:beforeAutospacing="0" w:after="240" w:afterAutospacing="0" w:line="360" w:lineRule="auto"/>
        <w:jc w:val="center"/>
        <w:rPr>
          <w:sz w:val="28"/>
          <w:szCs w:val="28"/>
        </w:rPr>
      </w:pPr>
    </w:p>
    <w:p w14:paraId="325B67A0" w14:textId="49EB325E" w:rsidR="007A46E5" w:rsidRDefault="007A46E5" w:rsidP="007A46E5">
      <w:pPr>
        <w:pStyle w:val="NormaleWeb"/>
        <w:shd w:val="clear" w:color="auto" w:fill="FFFFFF"/>
        <w:spacing w:before="240" w:beforeAutospacing="0" w:after="240" w:afterAutospacing="0" w:line="360" w:lineRule="auto"/>
        <w:jc w:val="center"/>
        <w:rPr>
          <w:sz w:val="28"/>
          <w:szCs w:val="28"/>
        </w:rPr>
      </w:pPr>
    </w:p>
    <w:p w14:paraId="5EF8279F" w14:textId="7114F90B" w:rsidR="00FA68FC" w:rsidRDefault="00FA68FC" w:rsidP="007A46E5">
      <w:pPr>
        <w:pStyle w:val="NormaleWeb"/>
        <w:shd w:val="clear" w:color="auto" w:fill="FFFFFF"/>
        <w:spacing w:before="240" w:beforeAutospacing="0" w:after="240" w:afterAutospacing="0" w:line="360" w:lineRule="auto"/>
        <w:jc w:val="center"/>
        <w:rPr>
          <w:sz w:val="28"/>
          <w:szCs w:val="28"/>
        </w:rPr>
      </w:pPr>
    </w:p>
    <w:p w14:paraId="07B433CC" w14:textId="77777777" w:rsidR="0040614B" w:rsidRPr="007D688A" w:rsidRDefault="00D378E1" w:rsidP="007A46E5">
      <w:pPr>
        <w:pStyle w:val="NormaleWeb"/>
        <w:shd w:val="clear" w:color="auto" w:fill="FFFFFF"/>
        <w:spacing w:before="240" w:beforeAutospacing="0" w:after="240" w:afterAutospacing="0" w:line="360" w:lineRule="auto"/>
        <w:jc w:val="center"/>
        <w:rPr>
          <w:sz w:val="32"/>
          <w:szCs w:val="32"/>
        </w:rPr>
      </w:pPr>
      <w:r w:rsidRPr="007D688A">
        <w:rPr>
          <w:sz w:val="32"/>
          <w:szCs w:val="32"/>
        </w:rPr>
        <w:t>Paolo Del Gaudio</w:t>
      </w:r>
    </w:p>
    <w:p w14:paraId="2733BEF3" w14:textId="73A8504D" w:rsidR="00A8601A" w:rsidRDefault="007D688A" w:rsidP="007A46E5">
      <w:pPr>
        <w:pStyle w:val="NormaleWeb"/>
        <w:shd w:val="clear" w:color="auto" w:fill="FFFFFF"/>
        <w:spacing w:before="240" w:beforeAutospacing="0" w:after="240" w:afterAutospacing="0" w:line="360" w:lineRule="auto"/>
        <w:jc w:val="center"/>
        <w:rPr>
          <w:sz w:val="32"/>
          <w:szCs w:val="32"/>
        </w:rPr>
      </w:pPr>
      <w:r w:rsidRPr="007D688A">
        <w:rPr>
          <w:sz w:val="32"/>
          <w:szCs w:val="32"/>
        </w:rPr>
        <w:t>201</w:t>
      </w:r>
      <w:r w:rsidR="00FA68FC">
        <w:rPr>
          <w:sz w:val="32"/>
          <w:szCs w:val="32"/>
        </w:rPr>
        <w:t>9</w:t>
      </w:r>
    </w:p>
    <w:p w14:paraId="7727463A" w14:textId="1627098E" w:rsidR="00FA68FC" w:rsidRDefault="00FA68FC" w:rsidP="00FA68FC">
      <w:pPr>
        <w:pStyle w:val="Titolo1"/>
        <w:spacing w:line="360" w:lineRule="auto"/>
        <w:ind w:left="0" w:right="-46" w:firstLine="0"/>
        <w:rPr>
          <w:rFonts w:ascii="Times New Roman" w:hAnsi="Times New Roman" w:cs="Times New Roman"/>
          <w:b/>
          <w:smallCaps/>
          <w:color w:val="auto"/>
          <w:sz w:val="44"/>
          <w:szCs w:val="44"/>
          <w:u w:val="single"/>
        </w:rPr>
      </w:pPr>
      <w:r w:rsidRPr="00FA68FC">
        <w:rPr>
          <w:rFonts w:ascii="Times New Roman" w:hAnsi="Times New Roman" w:cs="Times New Roman"/>
          <w:b/>
          <w:smallCaps/>
          <w:color w:val="auto"/>
          <w:sz w:val="44"/>
          <w:szCs w:val="44"/>
          <w:u w:val="single"/>
        </w:rPr>
        <w:lastRenderedPageBreak/>
        <w:t>LA DISCIPLINA URBANISTICA E LE DIVERSE DECLINAZIONI DELLA NULLIT</w:t>
      </w:r>
      <w:bookmarkStart w:id="1" w:name="_Hlk535682706"/>
      <w:r w:rsidRPr="00FA68FC">
        <w:rPr>
          <w:rFonts w:ascii="Times New Roman" w:hAnsi="Times New Roman" w:cs="Times New Roman"/>
          <w:b/>
          <w:smallCaps/>
          <w:color w:val="auto"/>
          <w:sz w:val="44"/>
          <w:szCs w:val="44"/>
          <w:u w:val="single"/>
        </w:rPr>
        <w:t>À</w:t>
      </w:r>
      <w:bookmarkEnd w:id="1"/>
      <w:r>
        <w:rPr>
          <w:rFonts w:ascii="Times New Roman" w:hAnsi="Times New Roman" w:cs="Times New Roman"/>
          <w:b/>
          <w:smallCaps/>
          <w:color w:val="auto"/>
          <w:sz w:val="44"/>
          <w:szCs w:val="44"/>
          <w:u w:val="single"/>
        </w:rPr>
        <w:t xml:space="preserve"> </w:t>
      </w:r>
    </w:p>
    <w:p w14:paraId="5E82FE6E" w14:textId="3A0E9066" w:rsidR="0077651B" w:rsidRPr="0077651B" w:rsidRDefault="0075110B" w:rsidP="00FA68FC">
      <w:pPr>
        <w:pStyle w:val="Titolo1"/>
        <w:spacing w:line="360" w:lineRule="auto"/>
        <w:ind w:left="0" w:right="-46" w:firstLine="0"/>
        <w:rPr>
          <w:rFonts w:ascii="Times New Roman" w:hAnsi="Times New Roman" w:cs="Times New Roman"/>
          <w:b/>
          <w:i/>
          <w:color w:val="auto"/>
          <w:sz w:val="28"/>
          <w:szCs w:val="28"/>
        </w:rPr>
      </w:pPr>
      <w:r>
        <w:rPr>
          <w:rFonts w:ascii="Times New Roman" w:hAnsi="Times New Roman" w:cs="Times New Roman"/>
          <w:b/>
          <w:i/>
          <w:color w:val="auto"/>
          <w:sz w:val="28"/>
          <w:szCs w:val="28"/>
        </w:rPr>
        <w:t xml:space="preserve">La </w:t>
      </w:r>
      <w:r w:rsidRPr="0075110B">
        <w:rPr>
          <w:rFonts w:ascii="Times New Roman" w:hAnsi="Times New Roman" w:cs="Times New Roman"/>
          <w:b/>
          <w:i/>
          <w:color w:val="auto"/>
          <w:sz w:val="28"/>
          <w:szCs w:val="28"/>
        </w:rPr>
        <w:t>nullità per violazione delle norme in materia di urbanistica ed edilizia</w:t>
      </w:r>
      <w:r>
        <w:rPr>
          <w:rFonts w:ascii="Times New Roman" w:hAnsi="Times New Roman" w:cs="Times New Roman"/>
          <w:b/>
          <w:i/>
          <w:color w:val="auto"/>
          <w:sz w:val="28"/>
          <w:szCs w:val="28"/>
        </w:rPr>
        <w:t>: un giano bifronte all’esame delle Sezioni Unite della C</w:t>
      </w:r>
      <w:r w:rsidR="00FA68FC">
        <w:rPr>
          <w:rFonts w:ascii="Times New Roman" w:hAnsi="Times New Roman" w:cs="Times New Roman"/>
          <w:b/>
          <w:i/>
          <w:color w:val="auto"/>
          <w:sz w:val="28"/>
          <w:szCs w:val="28"/>
        </w:rPr>
        <w:t>orte di Cassazione</w:t>
      </w:r>
      <w:r w:rsidR="009676AD">
        <w:rPr>
          <w:rFonts w:ascii="Times New Roman" w:hAnsi="Times New Roman" w:cs="Times New Roman"/>
          <w:b/>
          <w:i/>
          <w:color w:val="auto"/>
          <w:sz w:val="28"/>
          <w:szCs w:val="28"/>
        </w:rPr>
        <w:t>.</w:t>
      </w:r>
    </w:p>
    <w:p w14:paraId="616665A0" w14:textId="13B881B2" w:rsidR="007D688A" w:rsidRDefault="00F323B7" w:rsidP="007A46E5">
      <w:pPr>
        <w:pStyle w:val="Titolo1"/>
        <w:spacing w:line="360" w:lineRule="auto"/>
        <w:ind w:left="0" w:right="-46" w:firstLine="360"/>
        <w:rPr>
          <w:rFonts w:ascii="Times New Roman" w:hAnsi="Times New Roman" w:cs="Times New Roman"/>
          <w:color w:val="auto"/>
          <w:sz w:val="22"/>
          <w:szCs w:val="22"/>
        </w:rPr>
      </w:pPr>
      <w:r>
        <w:rPr>
          <w:rFonts w:ascii="Times New Roman" w:hAnsi="Times New Roman" w:cs="Times New Roman"/>
          <w:color w:val="auto"/>
          <w:sz w:val="22"/>
          <w:szCs w:val="22"/>
        </w:rPr>
        <w:t xml:space="preserve">SOMMARIO: 1. </w:t>
      </w:r>
      <w:r w:rsidR="00F8213D">
        <w:rPr>
          <w:rFonts w:ascii="Times New Roman" w:hAnsi="Times New Roman" w:cs="Times New Roman"/>
          <w:color w:val="auto"/>
          <w:sz w:val="22"/>
          <w:szCs w:val="22"/>
        </w:rPr>
        <w:t>LA DISCIPLINA URBANISTICA E LA NULLI</w:t>
      </w:r>
      <w:r w:rsidR="00F8213D" w:rsidRPr="00F8213D">
        <w:rPr>
          <w:rFonts w:ascii="Times New Roman" w:hAnsi="Times New Roman" w:cs="Times New Roman"/>
          <w:color w:val="auto"/>
          <w:sz w:val="22"/>
          <w:szCs w:val="22"/>
        </w:rPr>
        <w:t>TÀ</w:t>
      </w:r>
      <w:r w:rsidR="00F8213D">
        <w:rPr>
          <w:rFonts w:ascii="Times New Roman" w:hAnsi="Times New Roman" w:cs="Times New Roman"/>
          <w:color w:val="auto"/>
          <w:sz w:val="22"/>
          <w:szCs w:val="22"/>
        </w:rPr>
        <w:t xml:space="preserve"> 3. </w:t>
      </w:r>
      <w:r w:rsidR="009A5D99">
        <w:rPr>
          <w:rFonts w:ascii="Times New Roman" w:hAnsi="Times New Roman" w:cs="Times New Roman"/>
          <w:color w:val="auto"/>
          <w:sz w:val="22"/>
          <w:szCs w:val="22"/>
        </w:rPr>
        <w:t xml:space="preserve">LE </w:t>
      </w:r>
      <w:r w:rsidR="00845EB6">
        <w:rPr>
          <w:rFonts w:ascii="Times New Roman" w:hAnsi="Times New Roman" w:cs="Times New Roman"/>
          <w:color w:val="auto"/>
          <w:sz w:val="22"/>
          <w:szCs w:val="22"/>
        </w:rPr>
        <w:t>CONTRAPPOST</w:t>
      </w:r>
      <w:r w:rsidR="009A5D99">
        <w:rPr>
          <w:rFonts w:ascii="Times New Roman" w:hAnsi="Times New Roman" w:cs="Times New Roman"/>
          <w:color w:val="auto"/>
          <w:sz w:val="22"/>
          <w:szCs w:val="22"/>
        </w:rPr>
        <w:t>E TEORIE</w:t>
      </w:r>
      <w:r>
        <w:rPr>
          <w:rFonts w:ascii="Times New Roman" w:hAnsi="Times New Roman" w:cs="Times New Roman"/>
          <w:color w:val="auto"/>
          <w:sz w:val="22"/>
          <w:szCs w:val="22"/>
        </w:rPr>
        <w:t xml:space="preserve"> </w:t>
      </w:r>
      <w:r w:rsidR="00F8213D">
        <w:rPr>
          <w:rFonts w:ascii="Times New Roman" w:hAnsi="Times New Roman" w:cs="Times New Roman"/>
          <w:color w:val="auto"/>
          <w:sz w:val="22"/>
          <w:szCs w:val="22"/>
        </w:rPr>
        <w:t>4</w:t>
      </w:r>
      <w:r w:rsidR="007D688A">
        <w:rPr>
          <w:rFonts w:ascii="Times New Roman" w:hAnsi="Times New Roman" w:cs="Times New Roman"/>
          <w:color w:val="auto"/>
          <w:sz w:val="22"/>
          <w:szCs w:val="22"/>
        </w:rPr>
        <w:t>.</w:t>
      </w:r>
      <w:r>
        <w:rPr>
          <w:rFonts w:ascii="Times New Roman" w:hAnsi="Times New Roman" w:cs="Times New Roman"/>
          <w:color w:val="auto"/>
          <w:sz w:val="22"/>
          <w:szCs w:val="22"/>
        </w:rPr>
        <w:t xml:space="preserve"> </w:t>
      </w:r>
      <w:r w:rsidR="009A5D99" w:rsidRPr="00845EB6">
        <w:rPr>
          <w:rFonts w:ascii="Times New Roman" w:hAnsi="Times New Roman" w:cs="Times New Roman"/>
          <w:i/>
          <w:color w:val="auto"/>
          <w:sz w:val="22"/>
          <w:szCs w:val="22"/>
        </w:rPr>
        <w:t>E</w:t>
      </w:r>
      <w:r w:rsidR="00845EB6" w:rsidRPr="00845EB6">
        <w:rPr>
          <w:rFonts w:ascii="Times New Roman" w:hAnsi="Times New Roman" w:cs="Times New Roman"/>
          <w:i/>
          <w:color w:val="auto"/>
          <w:sz w:val="22"/>
          <w:szCs w:val="22"/>
        </w:rPr>
        <w:t>XCURSUS</w:t>
      </w:r>
      <w:r w:rsidR="009A5D99">
        <w:rPr>
          <w:rFonts w:ascii="Times New Roman" w:hAnsi="Times New Roman" w:cs="Times New Roman"/>
          <w:color w:val="auto"/>
          <w:sz w:val="22"/>
          <w:szCs w:val="22"/>
        </w:rPr>
        <w:t xml:space="preserve"> GIURISPRUDENZIALE</w:t>
      </w:r>
      <w:r>
        <w:rPr>
          <w:rFonts w:ascii="Times New Roman" w:hAnsi="Times New Roman" w:cs="Times New Roman"/>
          <w:color w:val="auto"/>
          <w:sz w:val="22"/>
          <w:szCs w:val="22"/>
        </w:rPr>
        <w:t xml:space="preserve"> </w:t>
      </w:r>
      <w:r w:rsidR="00482C6B">
        <w:rPr>
          <w:rFonts w:ascii="Times New Roman" w:hAnsi="Times New Roman" w:cs="Times New Roman"/>
          <w:color w:val="auto"/>
          <w:sz w:val="22"/>
          <w:szCs w:val="22"/>
        </w:rPr>
        <w:t>4.</w:t>
      </w:r>
      <w:r w:rsidR="00C94875">
        <w:rPr>
          <w:rFonts w:ascii="Times New Roman" w:hAnsi="Times New Roman" w:cs="Times New Roman"/>
          <w:color w:val="auto"/>
          <w:sz w:val="22"/>
          <w:szCs w:val="22"/>
        </w:rPr>
        <w:t xml:space="preserve"> </w:t>
      </w:r>
      <w:r w:rsidR="00CC7236">
        <w:rPr>
          <w:rFonts w:ascii="Times New Roman" w:hAnsi="Times New Roman" w:cs="Times New Roman"/>
          <w:color w:val="auto"/>
          <w:sz w:val="22"/>
          <w:szCs w:val="22"/>
        </w:rPr>
        <w:t>L</w:t>
      </w:r>
      <w:r w:rsidR="009A5D99">
        <w:rPr>
          <w:rFonts w:ascii="Times New Roman" w:hAnsi="Times New Roman" w:cs="Times New Roman"/>
          <w:color w:val="auto"/>
          <w:sz w:val="22"/>
          <w:szCs w:val="22"/>
        </w:rPr>
        <w:t>’ORDINANZA DI RIMESSIONE 5</w:t>
      </w:r>
      <w:r>
        <w:rPr>
          <w:rFonts w:ascii="Times New Roman" w:hAnsi="Times New Roman" w:cs="Times New Roman"/>
          <w:color w:val="auto"/>
          <w:sz w:val="22"/>
          <w:szCs w:val="22"/>
        </w:rPr>
        <w:t>.</w:t>
      </w:r>
      <w:r w:rsidR="00C32744">
        <w:rPr>
          <w:rFonts w:ascii="Times New Roman" w:hAnsi="Times New Roman" w:cs="Times New Roman"/>
          <w:color w:val="auto"/>
          <w:sz w:val="22"/>
          <w:szCs w:val="22"/>
        </w:rPr>
        <w:t xml:space="preserve"> LA </w:t>
      </w:r>
      <w:r w:rsidR="00845EB6" w:rsidRPr="00845EB6">
        <w:rPr>
          <w:rFonts w:ascii="Times New Roman" w:hAnsi="Times New Roman" w:cs="Times New Roman"/>
          <w:i/>
          <w:color w:val="auto"/>
          <w:sz w:val="22"/>
          <w:szCs w:val="22"/>
        </w:rPr>
        <w:t>“</w:t>
      </w:r>
      <w:r w:rsidR="00C32744" w:rsidRPr="00845EB6">
        <w:rPr>
          <w:rFonts w:ascii="Times New Roman" w:hAnsi="Times New Roman" w:cs="Times New Roman"/>
          <w:i/>
          <w:color w:val="auto"/>
          <w:sz w:val="22"/>
          <w:szCs w:val="22"/>
        </w:rPr>
        <w:t>TERZA VIA</w:t>
      </w:r>
      <w:r w:rsidR="00845EB6" w:rsidRPr="00845EB6">
        <w:rPr>
          <w:rFonts w:ascii="Times New Roman" w:hAnsi="Times New Roman" w:cs="Times New Roman"/>
          <w:i/>
          <w:color w:val="auto"/>
          <w:sz w:val="22"/>
          <w:szCs w:val="22"/>
        </w:rPr>
        <w:t>”</w:t>
      </w:r>
      <w:r w:rsidR="006B3F63" w:rsidRPr="006B3F63">
        <w:rPr>
          <w:rFonts w:ascii="Times New Roman" w:hAnsi="Times New Roman" w:cs="Times New Roman"/>
          <w:color w:val="auto"/>
          <w:sz w:val="22"/>
          <w:szCs w:val="22"/>
        </w:rPr>
        <w:t>:</w:t>
      </w:r>
      <w:r w:rsidR="006B3F63">
        <w:rPr>
          <w:rFonts w:ascii="Times New Roman" w:hAnsi="Times New Roman" w:cs="Times New Roman"/>
          <w:color w:val="auto"/>
          <w:sz w:val="22"/>
          <w:szCs w:val="22"/>
        </w:rPr>
        <w:t xml:space="preserve"> LA NULLIT</w:t>
      </w:r>
      <w:r w:rsidR="006B3F63" w:rsidRPr="00F8213D">
        <w:rPr>
          <w:rFonts w:ascii="Times New Roman" w:hAnsi="Times New Roman" w:cs="Times New Roman"/>
          <w:color w:val="auto"/>
          <w:sz w:val="22"/>
          <w:szCs w:val="22"/>
        </w:rPr>
        <w:t>À</w:t>
      </w:r>
      <w:r w:rsidR="006B3F63">
        <w:rPr>
          <w:rFonts w:ascii="Times New Roman" w:hAnsi="Times New Roman" w:cs="Times New Roman"/>
          <w:color w:val="auto"/>
          <w:sz w:val="22"/>
          <w:szCs w:val="22"/>
        </w:rPr>
        <w:t xml:space="preserve"> TESTUALE</w:t>
      </w:r>
      <w:r w:rsidR="00C32744">
        <w:rPr>
          <w:rFonts w:ascii="Times New Roman" w:hAnsi="Times New Roman" w:cs="Times New Roman"/>
          <w:color w:val="auto"/>
          <w:sz w:val="22"/>
          <w:szCs w:val="22"/>
        </w:rPr>
        <w:t xml:space="preserve"> 6.</w:t>
      </w:r>
      <w:r w:rsidR="00E626F2">
        <w:rPr>
          <w:rFonts w:ascii="Times New Roman" w:hAnsi="Times New Roman" w:cs="Times New Roman"/>
          <w:color w:val="auto"/>
          <w:sz w:val="22"/>
          <w:szCs w:val="22"/>
        </w:rPr>
        <w:t xml:space="preserve"> </w:t>
      </w:r>
      <w:r>
        <w:rPr>
          <w:rFonts w:ascii="Times New Roman" w:hAnsi="Times New Roman" w:cs="Times New Roman"/>
          <w:color w:val="auto"/>
          <w:sz w:val="22"/>
          <w:szCs w:val="22"/>
        </w:rPr>
        <w:t>CON</w:t>
      </w:r>
      <w:r w:rsidR="00C32744">
        <w:rPr>
          <w:rFonts w:ascii="Times New Roman" w:hAnsi="Times New Roman" w:cs="Times New Roman"/>
          <w:color w:val="auto"/>
          <w:sz w:val="22"/>
          <w:szCs w:val="22"/>
        </w:rPr>
        <w:t xml:space="preserve">SIDERAZIONI </w:t>
      </w:r>
      <w:r w:rsidR="00FA2908">
        <w:rPr>
          <w:rFonts w:ascii="Times New Roman" w:hAnsi="Times New Roman" w:cs="Times New Roman"/>
          <w:color w:val="auto"/>
          <w:sz w:val="22"/>
          <w:szCs w:val="22"/>
        </w:rPr>
        <w:t>A MARGINE</w:t>
      </w:r>
      <w:r w:rsidR="00F07334">
        <w:rPr>
          <w:rFonts w:ascii="Times New Roman" w:hAnsi="Times New Roman" w:cs="Times New Roman"/>
          <w:color w:val="auto"/>
          <w:sz w:val="22"/>
          <w:szCs w:val="22"/>
        </w:rPr>
        <w:t xml:space="preserve"> </w:t>
      </w:r>
    </w:p>
    <w:p w14:paraId="6D7B90C9" w14:textId="77777777" w:rsidR="00C32744" w:rsidRPr="00C32744" w:rsidRDefault="00C32744" w:rsidP="00C32744"/>
    <w:p w14:paraId="7F69F83D" w14:textId="77777777" w:rsidR="00C32744" w:rsidRPr="009676AD" w:rsidRDefault="00C32744" w:rsidP="00C32744">
      <w:pPr>
        <w:pStyle w:val="Paragrafoelenco"/>
        <w:numPr>
          <w:ilvl w:val="0"/>
          <w:numId w:val="14"/>
        </w:numPr>
        <w:spacing w:line="360" w:lineRule="auto"/>
        <w:ind w:right="-46"/>
        <w:rPr>
          <w:rFonts w:ascii="Times New Roman" w:hAnsi="Times New Roman" w:cs="Times New Roman"/>
          <w:sz w:val="24"/>
          <w:szCs w:val="24"/>
        </w:rPr>
      </w:pPr>
      <w:r w:rsidRPr="009676AD">
        <w:rPr>
          <w:rFonts w:ascii="Times New Roman" w:hAnsi="Times New Roman" w:cs="Times New Roman"/>
          <w:b/>
          <w:sz w:val="28"/>
          <w:szCs w:val="28"/>
        </w:rPr>
        <w:t>La dis</w:t>
      </w:r>
      <w:r>
        <w:rPr>
          <w:rFonts w:ascii="Times New Roman" w:hAnsi="Times New Roman" w:cs="Times New Roman"/>
          <w:b/>
          <w:sz w:val="28"/>
          <w:szCs w:val="28"/>
        </w:rPr>
        <w:t>ciplina urbanistica e la nullità</w:t>
      </w:r>
    </w:p>
    <w:p w14:paraId="7DCE2024" w14:textId="5FE16A1B" w:rsidR="009E62BC" w:rsidRDefault="000A59AE" w:rsidP="006B2063">
      <w:pPr>
        <w:spacing w:line="360" w:lineRule="auto"/>
        <w:ind w:left="0" w:right="-46" w:firstLine="360"/>
        <w:rPr>
          <w:rFonts w:ascii="Times New Roman" w:hAnsi="Times New Roman" w:cs="Times New Roman"/>
          <w:sz w:val="24"/>
          <w:szCs w:val="24"/>
        </w:rPr>
      </w:pPr>
      <w:r>
        <w:rPr>
          <w:rFonts w:ascii="Times New Roman" w:hAnsi="Times New Roman" w:cs="Times New Roman"/>
          <w:sz w:val="24"/>
          <w:szCs w:val="24"/>
        </w:rPr>
        <w:t xml:space="preserve">La questione del corretto inquadramento </w:t>
      </w:r>
      <w:r w:rsidR="00FA1D48">
        <w:rPr>
          <w:rFonts w:ascii="Times New Roman" w:hAnsi="Times New Roman" w:cs="Times New Roman"/>
          <w:sz w:val="24"/>
          <w:szCs w:val="24"/>
        </w:rPr>
        <w:t xml:space="preserve">circa </w:t>
      </w:r>
      <w:r>
        <w:rPr>
          <w:rFonts w:ascii="Times New Roman" w:hAnsi="Times New Roman" w:cs="Times New Roman"/>
          <w:sz w:val="24"/>
          <w:szCs w:val="24"/>
        </w:rPr>
        <w:t xml:space="preserve">la natura della nullità degli atti negoziali di trasferimento di immobili irregolari sotto il profilo della legge urbanistica appare particolarmente delicata non solo per la complessità della materia e per l’incertezza del dato normativo, ma anche perché involge il necessario bilanciamento tra due contrapposte esigenze: </w:t>
      </w:r>
      <w:r w:rsidRPr="000A59AE">
        <w:rPr>
          <w:rFonts w:ascii="Times New Roman" w:hAnsi="Times New Roman" w:cs="Times New Roman"/>
          <w:sz w:val="24"/>
          <w:szCs w:val="24"/>
        </w:rPr>
        <w:t>il contrasto all’abusivismo edilizio, da una parte, e l’esigenza di tutela dell’acquirente di immobile difforme dal titolo concessorio, dall’altra.</w:t>
      </w:r>
      <w:r>
        <w:rPr>
          <w:rFonts w:ascii="Times New Roman" w:hAnsi="Times New Roman" w:cs="Times New Roman"/>
          <w:sz w:val="24"/>
          <w:szCs w:val="24"/>
        </w:rPr>
        <w:t xml:space="preserve"> Pertanto,</w:t>
      </w:r>
      <w:r w:rsidR="009A5D99" w:rsidRPr="009A5D99">
        <w:rPr>
          <w:rFonts w:ascii="Times New Roman" w:hAnsi="Times New Roman" w:cs="Times New Roman"/>
          <w:sz w:val="24"/>
          <w:szCs w:val="24"/>
        </w:rPr>
        <w:t xml:space="preserve"> ogni possibile </w:t>
      </w:r>
      <w:r w:rsidR="007F1695">
        <w:rPr>
          <w:rFonts w:ascii="Times New Roman" w:hAnsi="Times New Roman" w:cs="Times New Roman"/>
          <w:sz w:val="24"/>
          <w:szCs w:val="24"/>
        </w:rPr>
        <w:t>approdo risolutivo</w:t>
      </w:r>
      <w:r w:rsidR="009F63A6">
        <w:rPr>
          <w:rFonts w:ascii="Times New Roman" w:hAnsi="Times New Roman" w:cs="Times New Roman"/>
          <w:sz w:val="24"/>
          <w:szCs w:val="24"/>
        </w:rPr>
        <w:t xml:space="preserve">, così come la corretta individuazione dell’ambito applicativo della predetta nullità, </w:t>
      </w:r>
      <w:r w:rsidR="009A5D99" w:rsidRPr="009A5D99">
        <w:rPr>
          <w:rFonts w:ascii="Times New Roman" w:hAnsi="Times New Roman" w:cs="Times New Roman"/>
          <w:sz w:val="24"/>
          <w:szCs w:val="24"/>
        </w:rPr>
        <w:t>è condizionat</w:t>
      </w:r>
      <w:r w:rsidR="007F1695">
        <w:rPr>
          <w:rFonts w:ascii="Times New Roman" w:hAnsi="Times New Roman" w:cs="Times New Roman"/>
          <w:sz w:val="24"/>
          <w:szCs w:val="24"/>
        </w:rPr>
        <w:t>o</w:t>
      </w:r>
      <w:r w:rsidR="009A5D99" w:rsidRPr="009A5D99">
        <w:rPr>
          <w:rFonts w:ascii="Times New Roman" w:hAnsi="Times New Roman" w:cs="Times New Roman"/>
          <w:sz w:val="24"/>
          <w:szCs w:val="24"/>
        </w:rPr>
        <w:t xml:space="preserve"> dalla soluzione che si intende dare alla </w:t>
      </w:r>
      <w:r w:rsidR="007F1695">
        <w:rPr>
          <w:rFonts w:ascii="Times New Roman" w:hAnsi="Times New Roman" w:cs="Times New Roman"/>
          <w:sz w:val="24"/>
          <w:szCs w:val="24"/>
        </w:rPr>
        <w:t>problematica</w:t>
      </w:r>
      <w:r w:rsidR="009A5D99" w:rsidRPr="009A5D99">
        <w:rPr>
          <w:rFonts w:ascii="Times New Roman" w:hAnsi="Times New Roman" w:cs="Times New Roman"/>
          <w:sz w:val="24"/>
          <w:szCs w:val="24"/>
        </w:rPr>
        <w:t xml:space="preserve"> </w:t>
      </w:r>
      <w:r w:rsidR="007F1695">
        <w:rPr>
          <w:rFonts w:ascii="Times New Roman" w:hAnsi="Times New Roman" w:cs="Times New Roman"/>
          <w:sz w:val="24"/>
          <w:szCs w:val="24"/>
        </w:rPr>
        <w:t>inerente alla</w:t>
      </w:r>
      <w:r w:rsidR="009A5D99" w:rsidRPr="009A5D99">
        <w:rPr>
          <w:rFonts w:ascii="Times New Roman" w:hAnsi="Times New Roman" w:cs="Times New Roman"/>
          <w:sz w:val="24"/>
          <w:szCs w:val="24"/>
        </w:rPr>
        <w:t xml:space="preserve"> natura</w:t>
      </w:r>
      <w:r w:rsidR="007F1695">
        <w:rPr>
          <w:rFonts w:ascii="Times New Roman" w:hAnsi="Times New Roman" w:cs="Times New Roman"/>
          <w:sz w:val="24"/>
          <w:szCs w:val="24"/>
        </w:rPr>
        <w:t xml:space="preserve">, </w:t>
      </w:r>
      <w:r w:rsidR="009A5D99" w:rsidRPr="007F1695">
        <w:rPr>
          <w:rFonts w:ascii="Times New Roman" w:hAnsi="Times New Roman" w:cs="Times New Roman"/>
          <w:i/>
          <w:sz w:val="24"/>
          <w:szCs w:val="24"/>
        </w:rPr>
        <w:t>“formale”</w:t>
      </w:r>
      <w:r w:rsidR="009A5D99" w:rsidRPr="009A5D99">
        <w:rPr>
          <w:rFonts w:ascii="Times New Roman" w:hAnsi="Times New Roman" w:cs="Times New Roman"/>
          <w:sz w:val="24"/>
          <w:szCs w:val="24"/>
        </w:rPr>
        <w:t xml:space="preserve"> o </w:t>
      </w:r>
      <w:r w:rsidR="009A5D99" w:rsidRPr="007F1695">
        <w:rPr>
          <w:rFonts w:ascii="Times New Roman" w:hAnsi="Times New Roman" w:cs="Times New Roman"/>
          <w:i/>
          <w:sz w:val="24"/>
          <w:szCs w:val="24"/>
        </w:rPr>
        <w:t>“sostanziale”</w:t>
      </w:r>
      <w:r w:rsidR="007F1695" w:rsidRPr="007F1695">
        <w:rPr>
          <w:rFonts w:ascii="Times New Roman" w:hAnsi="Times New Roman" w:cs="Times New Roman"/>
          <w:sz w:val="24"/>
          <w:szCs w:val="24"/>
        </w:rPr>
        <w:t>,</w:t>
      </w:r>
      <w:r w:rsidR="009A5D99" w:rsidRPr="009A5D99">
        <w:rPr>
          <w:rFonts w:ascii="Times New Roman" w:hAnsi="Times New Roman" w:cs="Times New Roman"/>
          <w:sz w:val="24"/>
          <w:szCs w:val="24"/>
        </w:rPr>
        <w:t xml:space="preserve"> della</w:t>
      </w:r>
      <w:r w:rsidR="00FA1D48">
        <w:rPr>
          <w:rFonts w:ascii="Times New Roman" w:hAnsi="Times New Roman" w:cs="Times New Roman"/>
          <w:sz w:val="24"/>
          <w:szCs w:val="24"/>
        </w:rPr>
        <w:t xml:space="preserve"> suddetta</w:t>
      </w:r>
      <w:r w:rsidR="009A5D99" w:rsidRPr="009A5D99">
        <w:rPr>
          <w:rFonts w:ascii="Times New Roman" w:hAnsi="Times New Roman" w:cs="Times New Roman"/>
          <w:sz w:val="24"/>
          <w:szCs w:val="24"/>
        </w:rPr>
        <w:t xml:space="preserve"> nullità</w:t>
      </w:r>
      <w:r w:rsidR="007F1695">
        <w:rPr>
          <w:rFonts w:ascii="Times New Roman" w:hAnsi="Times New Roman" w:cs="Times New Roman"/>
          <w:sz w:val="24"/>
          <w:szCs w:val="24"/>
        </w:rPr>
        <w:t xml:space="preserve">. </w:t>
      </w:r>
      <w:r w:rsidR="009A5D99" w:rsidRPr="009A5D99">
        <w:rPr>
          <w:rFonts w:ascii="Times New Roman" w:hAnsi="Times New Roman" w:cs="Times New Roman"/>
          <w:sz w:val="24"/>
          <w:szCs w:val="24"/>
        </w:rPr>
        <w:t xml:space="preserve"> </w:t>
      </w:r>
      <w:r w:rsidR="007F1695">
        <w:rPr>
          <w:rFonts w:ascii="Times New Roman" w:hAnsi="Times New Roman" w:cs="Times New Roman"/>
          <w:sz w:val="24"/>
          <w:szCs w:val="24"/>
        </w:rPr>
        <w:t xml:space="preserve">Allo stato dei fatti la </w:t>
      </w:r>
      <w:r w:rsidR="009F63A6" w:rsidRPr="007F1695">
        <w:rPr>
          <w:rFonts w:ascii="Times New Roman" w:hAnsi="Times New Roman" w:cs="Times New Roman"/>
          <w:i/>
          <w:sz w:val="24"/>
          <w:szCs w:val="24"/>
        </w:rPr>
        <w:t>vexata quaestio</w:t>
      </w:r>
      <w:r w:rsidR="007F1695">
        <w:rPr>
          <w:rFonts w:ascii="Times New Roman" w:hAnsi="Times New Roman" w:cs="Times New Roman"/>
          <w:sz w:val="24"/>
          <w:szCs w:val="24"/>
        </w:rPr>
        <w:t xml:space="preserve"> non ha trovato un punto di incontro un</w:t>
      </w:r>
      <w:r w:rsidR="009F63A6">
        <w:rPr>
          <w:rFonts w:ascii="Times New Roman" w:hAnsi="Times New Roman" w:cs="Times New Roman"/>
          <w:sz w:val="24"/>
          <w:szCs w:val="24"/>
        </w:rPr>
        <w:t>ivoco</w:t>
      </w:r>
      <w:r w:rsidR="007F1695">
        <w:rPr>
          <w:rFonts w:ascii="Times New Roman" w:hAnsi="Times New Roman" w:cs="Times New Roman"/>
          <w:sz w:val="24"/>
          <w:szCs w:val="24"/>
        </w:rPr>
        <w:t xml:space="preserve"> in dottrina e giurisprudenza</w:t>
      </w:r>
      <w:r w:rsidR="009A5D99" w:rsidRPr="009A5D99">
        <w:rPr>
          <w:rFonts w:ascii="Times New Roman" w:hAnsi="Times New Roman" w:cs="Times New Roman"/>
          <w:sz w:val="24"/>
          <w:szCs w:val="24"/>
        </w:rPr>
        <w:t>, tant</w:t>
      </w:r>
      <w:r w:rsidR="007F1695">
        <w:rPr>
          <w:rFonts w:ascii="Times New Roman" w:hAnsi="Times New Roman" w:cs="Times New Roman"/>
          <w:sz w:val="24"/>
          <w:szCs w:val="24"/>
        </w:rPr>
        <w:t>o da giustificar</w:t>
      </w:r>
      <w:r w:rsidR="009F63A6">
        <w:rPr>
          <w:rFonts w:ascii="Times New Roman" w:hAnsi="Times New Roman" w:cs="Times New Roman"/>
          <w:sz w:val="24"/>
          <w:szCs w:val="24"/>
        </w:rPr>
        <w:t>ne</w:t>
      </w:r>
      <w:r w:rsidR="007F1695">
        <w:rPr>
          <w:rFonts w:ascii="Times New Roman" w:hAnsi="Times New Roman" w:cs="Times New Roman"/>
          <w:sz w:val="24"/>
          <w:szCs w:val="24"/>
        </w:rPr>
        <w:t xml:space="preserve"> </w:t>
      </w:r>
      <w:r w:rsidR="009A5D99" w:rsidRPr="009A5D99">
        <w:rPr>
          <w:rFonts w:ascii="Times New Roman" w:hAnsi="Times New Roman" w:cs="Times New Roman"/>
          <w:sz w:val="24"/>
          <w:szCs w:val="24"/>
        </w:rPr>
        <w:t xml:space="preserve">la </w:t>
      </w:r>
      <w:r w:rsidR="007F1695">
        <w:rPr>
          <w:rFonts w:ascii="Times New Roman" w:hAnsi="Times New Roman" w:cs="Times New Roman"/>
          <w:sz w:val="24"/>
          <w:szCs w:val="24"/>
        </w:rPr>
        <w:t>rimessione al Supremo Consesso della Corte di Cassazione che, a giorni, farà finalmente chiarezza sul tema. È opportuno ricordare che l</w:t>
      </w:r>
      <w:r w:rsidR="00C32744" w:rsidRPr="00C32744">
        <w:rPr>
          <w:rFonts w:ascii="Times New Roman" w:hAnsi="Times New Roman" w:cs="Times New Roman"/>
          <w:sz w:val="24"/>
          <w:szCs w:val="24"/>
        </w:rPr>
        <w:t xml:space="preserve">a nullità urbanistica è un’ipotesi di nullità speciale, attualmente, disciplinata dall’art. 40 della l. 47/1985 e dal suo omologo, art. 46 del d.p.r. n. 380/2001, quest’ultimo applicabile </w:t>
      </w:r>
      <w:proofErr w:type="spellStart"/>
      <w:r w:rsidR="00C32744" w:rsidRPr="00F66C51">
        <w:rPr>
          <w:rFonts w:ascii="Times New Roman" w:hAnsi="Times New Roman" w:cs="Times New Roman"/>
          <w:i/>
          <w:sz w:val="24"/>
          <w:szCs w:val="24"/>
        </w:rPr>
        <w:t>ratione</w:t>
      </w:r>
      <w:proofErr w:type="spellEnd"/>
      <w:r w:rsidR="00C32744" w:rsidRPr="00F66C51">
        <w:rPr>
          <w:rFonts w:ascii="Times New Roman" w:hAnsi="Times New Roman" w:cs="Times New Roman"/>
          <w:i/>
          <w:sz w:val="24"/>
          <w:szCs w:val="24"/>
        </w:rPr>
        <w:t xml:space="preserve"> </w:t>
      </w:r>
      <w:proofErr w:type="spellStart"/>
      <w:r w:rsidR="00C32744" w:rsidRPr="00F66C51">
        <w:rPr>
          <w:rFonts w:ascii="Times New Roman" w:hAnsi="Times New Roman" w:cs="Times New Roman"/>
          <w:i/>
          <w:sz w:val="24"/>
          <w:szCs w:val="24"/>
        </w:rPr>
        <w:t>temporis</w:t>
      </w:r>
      <w:proofErr w:type="spellEnd"/>
      <w:r w:rsidR="00C32744" w:rsidRPr="00C32744">
        <w:rPr>
          <w:rFonts w:ascii="Times New Roman" w:hAnsi="Times New Roman" w:cs="Times New Roman"/>
          <w:sz w:val="24"/>
          <w:szCs w:val="24"/>
        </w:rPr>
        <w:t xml:space="preserve"> agli atti negoziali inerenti ad immobili, la cui costruzione sia iniziata dopo la data del 17.03.1985. Tali disposizioni prevedono, oltre ad un divieto assoluto di stipula, la nullità degli atti </w:t>
      </w:r>
      <w:r w:rsidR="00F66C51" w:rsidRPr="00F66C51">
        <w:rPr>
          <w:rFonts w:ascii="Times New Roman" w:hAnsi="Times New Roman" w:cs="Times New Roman"/>
          <w:i/>
          <w:sz w:val="24"/>
          <w:szCs w:val="24"/>
        </w:rPr>
        <w:t xml:space="preserve">inter </w:t>
      </w:r>
      <w:proofErr w:type="spellStart"/>
      <w:r w:rsidR="00F66C51" w:rsidRPr="00F66C51">
        <w:rPr>
          <w:rFonts w:ascii="Times New Roman" w:hAnsi="Times New Roman" w:cs="Times New Roman"/>
          <w:i/>
          <w:sz w:val="24"/>
          <w:szCs w:val="24"/>
        </w:rPr>
        <w:t>vivos</w:t>
      </w:r>
      <w:proofErr w:type="spellEnd"/>
      <w:r w:rsidR="00C32744" w:rsidRPr="00C32744">
        <w:rPr>
          <w:rFonts w:ascii="Times New Roman" w:hAnsi="Times New Roman" w:cs="Times New Roman"/>
          <w:sz w:val="24"/>
          <w:szCs w:val="24"/>
        </w:rPr>
        <w:t xml:space="preserve">, pubblici o privati, già stipulati, aventi ad oggetto il trasferimento o la costituzione o lo scioglimento della comunione di diritti reali (eccettuati i diritti reali di garanzia e le servitù), relativi ad edifici o loro parti, sprovvisti della dichiarazione di parte alienante, recante gli estremi del titolo edilizio abilitativo richiesto per la costruzione. I titoli cui il legislatore fa rinvio sono, rispettivamente, </w:t>
      </w:r>
      <w:r w:rsidR="00C32744" w:rsidRPr="00C32744">
        <w:rPr>
          <w:rFonts w:ascii="Times New Roman" w:hAnsi="Times New Roman" w:cs="Times New Roman"/>
          <w:sz w:val="24"/>
          <w:szCs w:val="24"/>
        </w:rPr>
        <w:lastRenderedPageBreak/>
        <w:t xml:space="preserve">la licenza edilizia, per i fabbricati realizzati prima dell’entrata in vigore della legge del 1985, la concessione edilizia ovvero la cd. </w:t>
      </w:r>
      <w:r w:rsidR="00C32744" w:rsidRPr="00F66C51">
        <w:rPr>
          <w:rFonts w:ascii="Times New Roman" w:hAnsi="Times New Roman" w:cs="Times New Roman"/>
          <w:i/>
          <w:sz w:val="24"/>
          <w:szCs w:val="24"/>
        </w:rPr>
        <w:t>concessione in sanatoria</w:t>
      </w:r>
      <w:r w:rsidR="00C32744" w:rsidRPr="00C32744">
        <w:rPr>
          <w:rFonts w:ascii="Times New Roman" w:hAnsi="Times New Roman" w:cs="Times New Roman"/>
          <w:sz w:val="24"/>
          <w:szCs w:val="24"/>
        </w:rPr>
        <w:t xml:space="preserve"> di cui all’art. 30, nel caso di applicazione della l. n. 47/1985 e il permesso di costruire ex art. 10, ovvero il permesso in sanatoria ex art. 36, nelle ipotesi previste dal d.p.r. n. 380/2001. A</w:t>
      </w:r>
      <w:r w:rsidR="004960B7">
        <w:rPr>
          <w:rFonts w:ascii="Times New Roman" w:hAnsi="Times New Roman" w:cs="Times New Roman"/>
          <w:sz w:val="24"/>
          <w:szCs w:val="24"/>
        </w:rPr>
        <w:t>ttualmente</w:t>
      </w:r>
      <w:r w:rsidR="00C32744" w:rsidRPr="00C32744">
        <w:rPr>
          <w:rFonts w:ascii="Times New Roman" w:hAnsi="Times New Roman" w:cs="Times New Roman"/>
          <w:sz w:val="24"/>
          <w:szCs w:val="24"/>
        </w:rPr>
        <w:t xml:space="preserve"> gli interventi che necessitano dell’emissione di tali titoli, da menzionare nell’atto negoziale, sono</w:t>
      </w:r>
      <w:r w:rsidR="004960B7">
        <w:rPr>
          <w:rFonts w:ascii="Times New Roman" w:hAnsi="Times New Roman" w:cs="Times New Roman"/>
          <w:sz w:val="24"/>
          <w:szCs w:val="24"/>
        </w:rPr>
        <w:t>,</w:t>
      </w:r>
      <w:r w:rsidR="00C32744" w:rsidRPr="00C32744">
        <w:rPr>
          <w:rFonts w:ascii="Times New Roman" w:hAnsi="Times New Roman" w:cs="Times New Roman"/>
          <w:sz w:val="24"/>
          <w:szCs w:val="24"/>
        </w:rPr>
        <w:t xml:space="preserve"> </w:t>
      </w:r>
      <w:r w:rsidR="004960B7">
        <w:rPr>
          <w:rFonts w:ascii="Times New Roman" w:hAnsi="Times New Roman" w:cs="Times New Roman"/>
          <w:sz w:val="24"/>
          <w:szCs w:val="24"/>
        </w:rPr>
        <w:t xml:space="preserve">di norma, </w:t>
      </w:r>
      <w:r w:rsidR="00C32744" w:rsidRPr="00C32744">
        <w:rPr>
          <w:rFonts w:ascii="Times New Roman" w:hAnsi="Times New Roman" w:cs="Times New Roman"/>
          <w:sz w:val="24"/>
          <w:szCs w:val="24"/>
        </w:rPr>
        <w:t xml:space="preserve">le nuove costruzioni e le </w:t>
      </w:r>
      <w:r w:rsidR="00F66C51" w:rsidRPr="00F66C51">
        <w:rPr>
          <w:rFonts w:ascii="Times New Roman" w:hAnsi="Times New Roman" w:cs="Times New Roman"/>
          <w:i/>
          <w:sz w:val="24"/>
          <w:szCs w:val="24"/>
        </w:rPr>
        <w:t>“</w:t>
      </w:r>
      <w:r w:rsidR="00C32744" w:rsidRPr="00F66C51">
        <w:rPr>
          <w:rFonts w:ascii="Times New Roman" w:hAnsi="Times New Roman" w:cs="Times New Roman"/>
          <w:i/>
          <w:sz w:val="24"/>
          <w:szCs w:val="24"/>
        </w:rPr>
        <w:t>ristrutturazioni pesanti</w:t>
      </w:r>
      <w:r w:rsidR="00F66C51">
        <w:rPr>
          <w:rFonts w:ascii="Times New Roman" w:hAnsi="Times New Roman" w:cs="Times New Roman"/>
          <w:i/>
          <w:sz w:val="24"/>
          <w:szCs w:val="24"/>
        </w:rPr>
        <w:t>”</w:t>
      </w:r>
      <w:r w:rsidR="004960B7">
        <w:rPr>
          <w:rFonts w:ascii="Times New Roman" w:hAnsi="Times New Roman" w:cs="Times New Roman"/>
          <w:i/>
          <w:sz w:val="24"/>
          <w:szCs w:val="24"/>
        </w:rPr>
        <w:t xml:space="preserve"> </w:t>
      </w:r>
      <w:r w:rsidR="004960B7">
        <w:rPr>
          <w:rFonts w:ascii="Times New Roman" w:hAnsi="Times New Roman" w:cs="Times New Roman"/>
          <w:sz w:val="24"/>
          <w:szCs w:val="24"/>
        </w:rPr>
        <w:t>(locuzione foriera di non pochi problemi ermeneutici)</w:t>
      </w:r>
      <w:r w:rsidR="00C32744" w:rsidRPr="00C32744">
        <w:rPr>
          <w:rFonts w:ascii="Times New Roman" w:hAnsi="Times New Roman" w:cs="Times New Roman"/>
          <w:sz w:val="24"/>
          <w:szCs w:val="24"/>
        </w:rPr>
        <w:t>, elencate nel citato art. 10 del d.p.r. n. 380/2001.</w:t>
      </w:r>
      <w:r w:rsidR="00F746C3">
        <w:rPr>
          <w:rFonts w:ascii="Times New Roman" w:hAnsi="Times New Roman" w:cs="Times New Roman"/>
          <w:sz w:val="24"/>
          <w:szCs w:val="24"/>
        </w:rPr>
        <w:t xml:space="preserve"> Tuttavia</w:t>
      </w:r>
      <w:r w:rsidR="00C32744" w:rsidRPr="00C32744">
        <w:rPr>
          <w:rFonts w:ascii="Times New Roman" w:hAnsi="Times New Roman" w:cs="Times New Roman"/>
          <w:sz w:val="24"/>
          <w:szCs w:val="24"/>
        </w:rPr>
        <w:t xml:space="preserve">, sono validi gli atti in oggetto allorquando venga in essi resa dichiarazione sostitutiva di atto notorio, ai sensi del d.p.r. n. 445/2000, attestante che i detti interventi edilizi </w:t>
      </w:r>
      <w:r w:rsidR="00F66C51" w:rsidRPr="00F66C51">
        <w:rPr>
          <w:rFonts w:ascii="Times New Roman" w:hAnsi="Times New Roman" w:cs="Times New Roman"/>
          <w:i/>
          <w:sz w:val="24"/>
          <w:szCs w:val="24"/>
        </w:rPr>
        <w:t>“</w:t>
      </w:r>
      <w:r w:rsidR="00C32744" w:rsidRPr="00F66C51">
        <w:rPr>
          <w:rFonts w:ascii="Times New Roman" w:hAnsi="Times New Roman" w:cs="Times New Roman"/>
          <w:i/>
          <w:sz w:val="24"/>
          <w:szCs w:val="24"/>
        </w:rPr>
        <w:t>abbiano avuto inizio</w:t>
      </w:r>
      <w:r w:rsidR="00F66C51" w:rsidRPr="00F66C51">
        <w:rPr>
          <w:rFonts w:ascii="Times New Roman" w:hAnsi="Times New Roman" w:cs="Times New Roman"/>
          <w:i/>
          <w:sz w:val="24"/>
          <w:szCs w:val="24"/>
        </w:rPr>
        <w:t>”</w:t>
      </w:r>
      <w:r w:rsidR="00F66C51">
        <w:rPr>
          <w:rFonts w:ascii="Times New Roman" w:hAnsi="Times New Roman" w:cs="Times New Roman"/>
          <w:sz w:val="24"/>
          <w:szCs w:val="24"/>
        </w:rPr>
        <w:t xml:space="preserve"> </w:t>
      </w:r>
      <w:r w:rsidR="00C32744" w:rsidRPr="00C32744">
        <w:rPr>
          <w:rFonts w:ascii="Times New Roman" w:hAnsi="Times New Roman" w:cs="Times New Roman"/>
          <w:sz w:val="24"/>
          <w:szCs w:val="24"/>
        </w:rPr>
        <w:t xml:space="preserve">prima della data del 1.9.1967, coincidente con il giorno dell’entrata in vigore della l. n. 765/1967, cd. </w:t>
      </w:r>
      <w:r w:rsidR="00C32744" w:rsidRPr="00F66C51">
        <w:rPr>
          <w:rFonts w:ascii="Times New Roman" w:hAnsi="Times New Roman" w:cs="Times New Roman"/>
          <w:i/>
          <w:sz w:val="24"/>
          <w:szCs w:val="24"/>
        </w:rPr>
        <w:t>Legge Ponte</w:t>
      </w:r>
      <w:r w:rsidR="00C32744" w:rsidRPr="00C32744">
        <w:rPr>
          <w:rFonts w:ascii="Times New Roman" w:hAnsi="Times New Roman" w:cs="Times New Roman"/>
          <w:sz w:val="24"/>
          <w:szCs w:val="24"/>
        </w:rPr>
        <w:t xml:space="preserve">. </w:t>
      </w:r>
    </w:p>
    <w:p w14:paraId="0B701A99" w14:textId="28CE0F86" w:rsidR="00C32744" w:rsidRDefault="00C32744" w:rsidP="00C32744">
      <w:pPr>
        <w:pStyle w:val="Titolo1"/>
        <w:numPr>
          <w:ilvl w:val="0"/>
          <w:numId w:val="14"/>
        </w:numPr>
        <w:spacing w:line="360" w:lineRule="auto"/>
        <w:ind w:right="-46"/>
        <w:rPr>
          <w:rFonts w:ascii="Times New Roman" w:hAnsi="Times New Roman" w:cs="Times New Roman"/>
          <w:b/>
          <w:color w:val="auto"/>
          <w:sz w:val="28"/>
          <w:szCs w:val="28"/>
        </w:rPr>
      </w:pPr>
      <w:r>
        <w:rPr>
          <w:rFonts w:ascii="Times New Roman" w:hAnsi="Times New Roman" w:cs="Times New Roman"/>
          <w:b/>
          <w:color w:val="auto"/>
          <w:sz w:val="28"/>
          <w:szCs w:val="28"/>
        </w:rPr>
        <w:t xml:space="preserve">Le </w:t>
      </w:r>
      <w:r w:rsidR="00CC2095">
        <w:rPr>
          <w:rFonts w:ascii="Times New Roman" w:hAnsi="Times New Roman" w:cs="Times New Roman"/>
          <w:b/>
          <w:color w:val="auto"/>
          <w:sz w:val="28"/>
          <w:szCs w:val="28"/>
        </w:rPr>
        <w:t>contrapposte</w:t>
      </w:r>
      <w:r>
        <w:rPr>
          <w:rFonts w:ascii="Times New Roman" w:hAnsi="Times New Roman" w:cs="Times New Roman"/>
          <w:b/>
          <w:color w:val="auto"/>
          <w:sz w:val="28"/>
          <w:szCs w:val="28"/>
        </w:rPr>
        <w:t xml:space="preserve"> teorie </w:t>
      </w:r>
    </w:p>
    <w:p w14:paraId="7853AE50" w14:textId="6EB84C16" w:rsidR="00EB2760" w:rsidRDefault="009F63A6" w:rsidP="006F3750">
      <w:pPr>
        <w:pStyle w:val="NormaleWeb"/>
        <w:shd w:val="clear" w:color="auto" w:fill="FFFFFF"/>
        <w:spacing w:line="360" w:lineRule="auto"/>
        <w:ind w:right="-46" w:firstLine="360"/>
        <w:jc w:val="both"/>
      </w:pPr>
      <w:r>
        <w:t xml:space="preserve">Al fine di </w:t>
      </w:r>
      <w:r w:rsidR="00F746C3">
        <w:t>individuare il</w:t>
      </w:r>
      <w:r w:rsidR="00B10B25" w:rsidRPr="00C32744">
        <w:t xml:space="preserve"> concreto </w:t>
      </w:r>
      <w:r w:rsidR="00F746C3">
        <w:t>spazio</w:t>
      </w:r>
      <w:r w:rsidR="00564609">
        <w:t xml:space="preserve"> </w:t>
      </w:r>
      <w:r w:rsidR="00B10B25" w:rsidRPr="00C32744">
        <w:t>applicativo della</w:t>
      </w:r>
      <w:r w:rsidR="00F746C3">
        <w:t xml:space="preserve"> disciplina della</w:t>
      </w:r>
      <w:r w:rsidR="00B10B25" w:rsidRPr="00C32744">
        <w:t xml:space="preserve"> nullità urbanistica, </w:t>
      </w:r>
      <w:r w:rsidR="00AD14BE" w:rsidRPr="00C32744">
        <w:t>indispensabile</w:t>
      </w:r>
      <w:r w:rsidR="00F746C3">
        <w:t xml:space="preserve">, </w:t>
      </w:r>
      <w:r w:rsidR="00564609">
        <w:t>come detto,</w:t>
      </w:r>
      <w:r w:rsidR="00B10B25" w:rsidRPr="00C32744">
        <w:t xml:space="preserve"> </w:t>
      </w:r>
      <w:r w:rsidR="00F746C3">
        <w:t xml:space="preserve">risulta </w:t>
      </w:r>
      <w:r w:rsidR="00B10B25" w:rsidRPr="00C32744">
        <w:t xml:space="preserve">determinarne </w:t>
      </w:r>
      <w:r w:rsidR="00F746C3">
        <w:t xml:space="preserve">preliminarmente </w:t>
      </w:r>
      <w:r w:rsidR="00B10B25" w:rsidRPr="00C32744">
        <w:t xml:space="preserve">la natura giuridica. Storicamente si sono </w:t>
      </w:r>
      <w:r w:rsidR="00F746C3">
        <w:t>fronteggiate</w:t>
      </w:r>
      <w:r w:rsidR="00564609">
        <w:t xml:space="preserve"> sul punto</w:t>
      </w:r>
      <w:r w:rsidR="00F746C3">
        <w:t xml:space="preserve"> due teorie:</w:t>
      </w:r>
      <w:r w:rsidR="00B10B25" w:rsidRPr="00C32744">
        <w:t xml:space="preserve"> la tra</w:t>
      </w:r>
      <w:r w:rsidR="00564609">
        <w:t>latizia</w:t>
      </w:r>
      <w:r w:rsidR="00B10B25" w:rsidRPr="00C32744">
        <w:t xml:space="preserve"> tesi </w:t>
      </w:r>
      <w:r w:rsidR="00564609" w:rsidRPr="00564609">
        <w:rPr>
          <w:i/>
        </w:rPr>
        <w:t>“</w:t>
      </w:r>
      <w:r w:rsidR="00B10B25" w:rsidRPr="00564609">
        <w:rPr>
          <w:i/>
        </w:rPr>
        <w:t>formalistica</w:t>
      </w:r>
      <w:r w:rsidR="00564609" w:rsidRPr="00564609">
        <w:rPr>
          <w:i/>
        </w:rPr>
        <w:t>”</w:t>
      </w:r>
      <w:r w:rsidR="00B10B25" w:rsidRPr="00C32744">
        <w:t xml:space="preserve"> e la più moderna </w:t>
      </w:r>
      <w:r w:rsidR="00564609" w:rsidRPr="00564609">
        <w:rPr>
          <w:i/>
        </w:rPr>
        <w:t>“</w:t>
      </w:r>
      <w:r w:rsidR="00B10B25" w:rsidRPr="00564609">
        <w:rPr>
          <w:i/>
        </w:rPr>
        <w:t>tesi sostanzialistica</w:t>
      </w:r>
      <w:r w:rsidR="00564609">
        <w:rPr>
          <w:i/>
        </w:rPr>
        <w:t>”</w:t>
      </w:r>
      <w:r w:rsidR="00B10B25" w:rsidRPr="00C32744">
        <w:t>.</w:t>
      </w:r>
      <w:r w:rsidR="00B10B25">
        <w:t xml:space="preserve"> </w:t>
      </w:r>
      <w:r w:rsidR="00891591">
        <w:t>S</w:t>
      </w:r>
      <w:r w:rsidR="00891591" w:rsidRPr="00891591">
        <w:t>econdo la prima impostazione</w:t>
      </w:r>
      <w:r w:rsidR="00891591" w:rsidRPr="00891591">
        <w:rPr>
          <w:vertAlign w:val="superscript"/>
        </w:rPr>
        <w:footnoteReference w:id="1"/>
      </w:r>
      <w:r w:rsidR="00891591" w:rsidRPr="00891591">
        <w:t xml:space="preserve"> tale nullità, riconducibile al generale paradigma di cui all’art. 1418, co. 3, c.c., colpirebbe l’atto negoziale esclusivamente in quanto affetto dalla carenza documentale della menzione degli estremi del titolo edilizio abilitativo ovvero della dichiarazione sostitutiva di atto notorio. Peculiare corollario di tale assunta natura formale della sanzione, poi, sarebbe quello di ammettere, </w:t>
      </w:r>
      <w:r w:rsidR="00891591" w:rsidRPr="00891591">
        <w:rPr>
          <w:i/>
        </w:rPr>
        <w:t>in limine</w:t>
      </w:r>
      <w:r w:rsidR="00891591" w:rsidRPr="00891591">
        <w:t xml:space="preserve">, la validità di un atto contenente gli estremi del provvedimento amministrativo autorizzatorio, indipendentemente dal fatto che l’intervento edilizio sia stato realizzato in difformità dallo stesso, con mendacio, dunque, del soggetto dichiarante. Ciò posto sulla premessa che la </w:t>
      </w:r>
      <w:r w:rsidR="00891591" w:rsidRPr="00891591">
        <w:rPr>
          <w:i/>
        </w:rPr>
        <w:t>ratio</w:t>
      </w:r>
      <w:r w:rsidR="00891591" w:rsidRPr="00891591">
        <w:t xml:space="preserve"> delle prescrizioni in questione non sarebbe quella di attestare la piena corrispondenza tra il </w:t>
      </w:r>
      <w:r w:rsidR="00891591" w:rsidRPr="00891591">
        <w:rPr>
          <w:i/>
        </w:rPr>
        <w:t>“costruito”</w:t>
      </w:r>
      <w:r w:rsidR="00891591" w:rsidRPr="00891591">
        <w:t xml:space="preserve"> e il </w:t>
      </w:r>
      <w:r w:rsidR="00891591" w:rsidRPr="00891591">
        <w:rPr>
          <w:i/>
        </w:rPr>
        <w:t>“concesso”</w:t>
      </w:r>
      <w:r w:rsidR="00891591" w:rsidRPr="00891591">
        <w:t xml:space="preserve">, bensì quella di tutelare la parte acquirente, mettendola in condizione di conoscere in base a quali titoli l’immobile sia stato realizzato e se, dunque, sia stato commesso o meno un abuso edilizio. </w:t>
      </w:r>
      <w:r w:rsidR="00564609">
        <w:t>In accordo ai</w:t>
      </w:r>
      <w:r w:rsidR="00F21ACB" w:rsidRPr="00F21ACB">
        <w:t xml:space="preserve"> fautori d</w:t>
      </w:r>
      <w:r w:rsidR="00564609">
        <w:t xml:space="preserve">ella prima </w:t>
      </w:r>
      <w:r w:rsidR="00F21ACB" w:rsidRPr="00F21ACB">
        <w:t>teoria</w:t>
      </w:r>
      <w:r w:rsidR="00564609">
        <w:t>,</w:t>
      </w:r>
      <w:r w:rsidR="00F21ACB" w:rsidRPr="00F21ACB">
        <w:t xml:space="preserve"> </w:t>
      </w:r>
      <w:r w:rsidR="00891591">
        <w:t xml:space="preserve">quindi, </w:t>
      </w:r>
      <w:r w:rsidR="00F21ACB" w:rsidRPr="00F21ACB">
        <w:t xml:space="preserve">va riconosciuta esclusiva rilevanza, ai </w:t>
      </w:r>
      <w:r w:rsidR="00564609">
        <w:t>fi</w:t>
      </w:r>
      <w:r w:rsidR="00F21ACB" w:rsidRPr="00F21ACB">
        <w:t xml:space="preserve">ni della validità degli atti, al solo requisito formale. </w:t>
      </w:r>
      <w:r w:rsidR="006F3750">
        <w:t>Vale a dire che</w:t>
      </w:r>
      <w:r w:rsidR="00F21ACB" w:rsidRPr="00F21ACB">
        <w:t xml:space="preserve"> l’atto è e rimane valido per il solo fatto che vi siano menzionati un provvedimento autorizzativo o la avvenuta costruzione anteriormente al </w:t>
      </w:r>
      <w:r w:rsidR="006F3750" w:rsidRPr="00F21ACB">
        <w:t xml:space="preserve">1° settembre 1967 </w:t>
      </w:r>
      <w:r w:rsidR="00F21ACB" w:rsidRPr="00F21ACB">
        <w:t xml:space="preserve"> anche se si tratta di dichiarazione falsa ed anche se il provvedimento citato non esiste o l’edi</w:t>
      </w:r>
      <w:r w:rsidR="00C32744">
        <w:t>fi</w:t>
      </w:r>
      <w:r w:rsidR="00F21ACB" w:rsidRPr="00F21ACB">
        <w:t xml:space="preserve">cio è stato costruito </w:t>
      </w:r>
      <w:r w:rsidR="00F21ACB" w:rsidRPr="00F21ACB">
        <w:lastRenderedPageBreak/>
        <w:t xml:space="preserve">dopo il 1967 in assenza di provvedimento autorizzativo. </w:t>
      </w:r>
      <w:r w:rsidR="00891591" w:rsidRPr="00891591">
        <w:t>Dall’obiezione avanzata alla tesi in oggetto da parte di autorevole dottrina, in forza della quale no</w:t>
      </w:r>
      <w:r w:rsidR="00FA1D48">
        <w:t>n è pos</w:t>
      </w:r>
      <w:r w:rsidR="00017BDD">
        <w:t>sibile</w:t>
      </w:r>
      <w:r w:rsidR="00891591" w:rsidRPr="00891591">
        <w:t xml:space="preserve"> considerar</w:t>
      </w:r>
      <w:r w:rsidR="00017BDD">
        <w:t>e</w:t>
      </w:r>
      <w:r w:rsidR="00891591" w:rsidRPr="00891591">
        <w:t xml:space="preserve"> tale nullità soltanto sul piano della mera previsione legislativa, risultandone, piuttosto, necessaria una lettura </w:t>
      </w:r>
      <w:r w:rsidR="00891591" w:rsidRPr="00891591">
        <w:rPr>
          <w:i/>
        </w:rPr>
        <w:t>“teleologicamente orientata”</w:t>
      </w:r>
      <w:r w:rsidR="00891591" w:rsidRPr="00891591">
        <w:t xml:space="preserve">, anche in ragione del paradigma delle nullità </w:t>
      </w:r>
      <w:r w:rsidR="00891591" w:rsidRPr="00891591">
        <w:rPr>
          <w:i/>
        </w:rPr>
        <w:t>“virtuali”</w:t>
      </w:r>
      <w:r w:rsidR="00891591" w:rsidRPr="00891591">
        <w:t xml:space="preserve">, di cui all’art. 1418, co. 1, c.c., è scaturito l’opposto orientamento </w:t>
      </w:r>
      <w:r w:rsidR="00891591" w:rsidRPr="00891591">
        <w:rPr>
          <w:i/>
        </w:rPr>
        <w:t>“sostanzialistico”</w:t>
      </w:r>
      <w:r w:rsidR="00891591" w:rsidRPr="00891591">
        <w:rPr>
          <w:i/>
          <w:vertAlign w:val="superscript"/>
        </w:rPr>
        <w:footnoteReference w:id="2"/>
      </w:r>
      <w:r w:rsidR="00891591" w:rsidRPr="00891591">
        <w:t xml:space="preserve">. Quest’ultimo, ha enucleato due distinte sanzioni invalidanti, affiancando alla </w:t>
      </w:r>
      <w:r w:rsidR="00891591" w:rsidRPr="00891591">
        <w:rPr>
          <w:i/>
        </w:rPr>
        <w:t>“nullità formale”</w:t>
      </w:r>
      <w:r w:rsidR="00891591" w:rsidRPr="00891591">
        <w:t xml:space="preserve"> </w:t>
      </w:r>
      <w:r w:rsidR="00891591" w:rsidRPr="00891591">
        <w:rPr>
          <w:i/>
        </w:rPr>
        <w:t xml:space="preserve">ex </w:t>
      </w:r>
      <w:proofErr w:type="spellStart"/>
      <w:r w:rsidR="00891591" w:rsidRPr="00891591">
        <w:rPr>
          <w:i/>
        </w:rPr>
        <w:t>verba</w:t>
      </w:r>
      <w:proofErr w:type="spellEnd"/>
      <w:r w:rsidR="00891591" w:rsidRPr="00891591">
        <w:rPr>
          <w:i/>
        </w:rPr>
        <w:t xml:space="preserve"> legis</w:t>
      </w:r>
      <w:r w:rsidR="00891591" w:rsidRPr="00891591">
        <w:t xml:space="preserve">, una </w:t>
      </w:r>
      <w:r w:rsidR="00891591" w:rsidRPr="00891591">
        <w:rPr>
          <w:i/>
        </w:rPr>
        <w:t>“nullità sostanziale”</w:t>
      </w:r>
      <w:r w:rsidR="00891591" w:rsidRPr="00891591">
        <w:t xml:space="preserve">, riconducibile ad un’illiceità contrattuale, per contrasto con norma imperativa di legge, ai sensi dell’art. 1418, co.1, c.c.. Paradigma di tale concezione è la constatazione che se il legislatore, per contrastare il fenomeno dell'abusivismo edilizio con riferimento agli atti di compravendita di fabbricati irregolari, è giunto al punto di sancirne la nullità anche solo per la mancata indicazione degli estremi della concessione, ove in effetti esistente, a maggior ragione l'atto è nullo se l'immobile è abusivo e gli estremi della concessione sono fittizi. </w:t>
      </w:r>
      <w:r w:rsidR="00891591">
        <w:t>Pertanto</w:t>
      </w:r>
      <w:r w:rsidR="00E34380">
        <w:t>,</w:t>
      </w:r>
      <w:r w:rsidR="00F21ACB" w:rsidRPr="00F21ACB">
        <w:t xml:space="preserve"> se si vuol riconoscere alla normativa </w:t>
      </w:r>
      <w:r w:rsidR="001E69BB">
        <w:t>in esame</w:t>
      </w:r>
      <w:r w:rsidR="00F21ACB" w:rsidRPr="00F21ACB">
        <w:t xml:space="preserve"> la funzione di repressione</w:t>
      </w:r>
      <w:r w:rsidR="001E69BB">
        <w:t xml:space="preserve"> e </w:t>
      </w:r>
      <w:r w:rsidR="00F21ACB" w:rsidRPr="00F21ACB">
        <w:t xml:space="preserve">disincentivazione degli abusi edilizi </w:t>
      </w:r>
      <w:r w:rsidR="001E69BB">
        <w:t>appare necessario ritenere</w:t>
      </w:r>
      <w:r w:rsidR="00F21ACB" w:rsidRPr="00F21ACB">
        <w:t xml:space="preserve"> che per la validità degli atti non può </w:t>
      </w:r>
      <w:r w:rsidR="001E69BB">
        <w:t>considerarsi</w:t>
      </w:r>
      <w:r w:rsidR="00F21ACB" w:rsidRPr="00F21ACB">
        <w:t xml:space="preserve"> suf</w:t>
      </w:r>
      <w:r w:rsidR="00C32744">
        <w:t>fi</w:t>
      </w:r>
      <w:r w:rsidR="00F21ACB" w:rsidRPr="00F21ACB">
        <w:t>ciente la semplice menzione del provvedimento autorizzativo, ma il provvedimento deve effettivamente sussistere</w:t>
      </w:r>
      <w:r w:rsidR="001E69BB">
        <w:t xml:space="preserve">, </w:t>
      </w:r>
      <w:r w:rsidR="00F21ACB" w:rsidRPr="00F21ACB">
        <w:t xml:space="preserve">ovvero in </w:t>
      </w:r>
      <w:r w:rsidR="001E69BB">
        <w:t>ipotesi</w:t>
      </w:r>
      <w:r w:rsidR="00F21ACB" w:rsidRPr="00F21ACB">
        <w:t xml:space="preserve"> di dichiarazione </w:t>
      </w:r>
      <w:r w:rsidR="00F21ACB" w:rsidRPr="00017BDD">
        <w:rPr>
          <w:i/>
        </w:rPr>
        <w:t>ante</w:t>
      </w:r>
      <w:r w:rsidR="00F21ACB" w:rsidRPr="00F21ACB">
        <w:t xml:space="preserve"> 1967 la costruzione deve essere stata effettivamente realizzata </w:t>
      </w:r>
      <w:r w:rsidR="001E69BB" w:rsidRPr="00F21ACB">
        <w:t>precedentemente</w:t>
      </w:r>
      <w:r w:rsidR="00F21ACB" w:rsidRPr="00F21ACB">
        <w:t xml:space="preserve"> al </w:t>
      </w:r>
      <w:r w:rsidR="007B5DF2" w:rsidRPr="00F21ACB">
        <w:t>1° settembre 1967</w:t>
      </w:r>
      <w:r w:rsidR="00017BDD">
        <w:t>,</w:t>
      </w:r>
      <w:r w:rsidR="00F21ACB" w:rsidRPr="00F21ACB">
        <w:t xml:space="preserve"> e </w:t>
      </w:r>
      <w:r w:rsidR="001E69BB" w:rsidRPr="00F21ACB">
        <w:t>in ogni caso</w:t>
      </w:r>
      <w:r w:rsidR="00F21ACB" w:rsidRPr="00F21ACB">
        <w:t xml:space="preserve"> la costruzione non deve essere stata eseguita in difformità dal titolo citato.</w:t>
      </w:r>
      <w:r w:rsidR="001E69BB">
        <w:t xml:space="preserve"> Conseguentemente, per dirsi valido un atto traslativo </w:t>
      </w:r>
      <w:r w:rsidR="001E69BB" w:rsidRPr="001E69BB">
        <w:rPr>
          <w:i/>
        </w:rPr>
        <w:t xml:space="preserve">inter </w:t>
      </w:r>
      <w:proofErr w:type="spellStart"/>
      <w:r w:rsidR="001E69BB" w:rsidRPr="001E69BB">
        <w:rPr>
          <w:i/>
        </w:rPr>
        <w:t>vivos</w:t>
      </w:r>
      <w:proofErr w:type="spellEnd"/>
      <w:r w:rsidR="001E69BB">
        <w:t xml:space="preserve"> avente ad oggetto un bene immobile </w:t>
      </w:r>
      <w:r w:rsidR="00F21ACB" w:rsidRPr="00F21ACB">
        <w:t xml:space="preserve">non </w:t>
      </w:r>
      <w:r w:rsidR="001E69BB">
        <w:t>è</w:t>
      </w:r>
      <w:r w:rsidR="00F21ACB" w:rsidRPr="00F21ACB">
        <w:t xml:space="preserve"> suf</w:t>
      </w:r>
      <w:r w:rsidR="00C32744">
        <w:t>fi</w:t>
      </w:r>
      <w:r w:rsidR="00F21ACB" w:rsidRPr="00F21ACB">
        <w:t xml:space="preserve">ciente il solo requisito formale ma deve necessariamente sussistere anche il requisito sostanziale. </w:t>
      </w:r>
      <w:r w:rsidR="001E69BB">
        <w:t>Iniquo risulterebbe</w:t>
      </w:r>
      <w:r w:rsidR="00F21ACB" w:rsidRPr="00F21ACB">
        <w:t xml:space="preserve">, infatti, ritenere valido un atto avente per oggetto un fabbricato totalmente abusivo e ciò per effetto di una dichiarazione palesemente falsa in ordine ai titoli edilizi abilitativi e ritenere, al </w:t>
      </w:r>
      <w:r w:rsidR="001E69BB">
        <w:t>contempo</w:t>
      </w:r>
      <w:r w:rsidR="00F21ACB" w:rsidRPr="00F21ACB">
        <w:t>, nullo l’atto avente per oggetto un fabbricato assolutamente regolare sotto il pro</w:t>
      </w:r>
      <w:r w:rsidR="00F80507">
        <w:t>fi</w:t>
      </w:r>
      <w:r w:rsidR="00F21ACB" w:rsidRPr="00F21ACB">
        <w:t>lo urbanistico ma privo delle menzioni prescritte dalla legge</w:t>
      </w:r>
      <w:r w:rsidR="001E69BB">
        <w:t>, seppur astrattamente convalidabile</w:t>
      </w:r>
      <w:r w:rsidR="00F21ACB" w:rsidRPr="00F21ACB">
        <w:t xml:space="preserve">. </w:t>
      </w:r>
      <w:r w:rsidR="00444642">
        <w:t>In definitiva, s</w:t>
      </w:r>
      <w:r w:rsidR="00F21ACB" w:rsidRPr="00F21ACB">
        <w:t xml:space="preserve">e </w:t>
      </w:r>
      <w:r w:rsidR="00444642">
        <w:t xml:space="preserve">risulta manchevole </w:t>
      </w:r>
      <w:r w:rsidR="00444642" w:rsidRPr="00F21ACB">
        <w:t>il requisito sostanziale</w:t>
      </w:r>
      <w:r w:rsidR="00444642">
        <w:t>, ovvero</w:t>
      </w:r>
      <w:r w:rsidR="00444642" w:rsidRPr="00F21ACB">
        <w:t xml:space="preserve"> </w:t>
      </w:r>
      <w:r w:rsidR="00F21ACB" w:rsidRPr="00F21ACB">
        <w:t xml:space="preserve">manca la riferibilità dell’opera ad un provvedimento autorizzativo o la costruzione non è effettivamente avvenuta anteriormente al </w:t>
      </w:r>
      <w:r w:rsidR="00F80507" w:rsidRPr="00F21ACB">
        <w:t>1° settembre</w:t>
      </w:r>
      <w:r w:rsidR="00F21ACB" w:rsidRPr="00F21ACB">
        <w:t xml:space="preserve"> 1967, anche se dovesse sussistere il requisito formale</w:t>
      </w:r>
      <w:r w:rsidR="00444642">
        <w:t xml:space="preserve">, in ragione di una mendace </w:t>
      </w:r>
      <w:r w:rsidR="00444642" w:rsidRPr="00F21ACB">
        <w:t>dichiarazione</w:t>
      </w:r>
      <w:r w:rsidR="00F21ACB" w:rsidRPr="00F21ACB">
        <w:t>, l’atto deve comunque ritenersi nullo</w:t>
      </w:r>
      <w:r w:rsidR="006A5B98" w:rsidRPr="006A5B98">
        <w:t>.</w:t>
      </w:r>
      <w:r w:rsidR="00E44030">
        <w:t xml:space="preserve"> </w:t>
      </w:r>
      <w:r w:rsidR="006652DC">
        <w:t>Appare evidente</w:t>
      </w:r>
      <w:r w:rsidR="00A401D6">
        <w:t xml:space="preserve">, quindi, </w:t>
      </w:r>
      <w:r w:rsidR="006652DC">
        <w:t>che le contrapposte teorie, tradottesi in una dicotomia di vedute anche in seno alla Corte di Cassazione, si fondano su una diversa prospettiva dalla quale si esamina la questione</w:t>
      </w:r>
      <w:r w:rsidR="00221713">
        <w:t>.</w:t>
      </w:r>
    </w:p>
    <w:p w14:paraId="41270225" w14:textId="5806D6CE" w:rsidR="00A63A28" w:rsidRPr="003A13AC" w:rsidRDefault="00845EB6" w:rsidP="007A46E5">
      <w:pPr>
        <w:pStyle w:val="Paragrafoelenco"/>
        <w:numPr>
          <w:ilvl w:val="0"/>
          <w:numId w:val="14"/>
        </w:numPr>
        <w:spacing w:line="360" w:lineRule="auto"/>
        <w:ind w:right="-46"/>
        <w:rPr>
          <w:rFonts w:ascii="Times New Roman" w:hAnsi="Times New Roman" w:cs="Times New Roman"/>
          <w:b/>
          <w:sz w:val="28"/>
          <w:szCs w:val="28"/>
        </w:rPr>
      </w:pPr>
      <w:r>
        <w:rPr>
          <w:rFonts w:ascii="Times New Roman" w:eastAsia="Times New Roman" w:hAnsi="Times New Roman" w:cs="Times New Roman"/>
          <w:b/>
          <w:i/>
          <w:sz w:val="28"/>
          <w:szCs w:val="28"/>
          <w:lang w:eastAsia="it-IT"/>
        </w:rPr>
        <w:lastRenderedPageBreak/>
        <w:t>Excursus</w:t>
      </w:r>
      <w:r w:rsidR="00B10B25">
        <w:rPr>
          <w:rFonts w:ascii="Times New Roman" w:eastAsia="Times New Roman" w:hAnsi="Times New Roman" w:cs="Times New Roman"/>
          <w:b/>
          <w:sz w:val="28"/>
          <w:szCs w:val="28"/>
          <w:lang w:eastAsia="it-IT"/>
        </w:rPr>
        <w:t xml:space="preserve"> giurisprudenziale</w:t>
      </w:r>
    </w:p>
    <w:p w14:paraId="1A42DE7C" w14:textId="4DDFE0E1" w:rsidR="008263D6" w:rsidRDefault="00CC2095" w:rsidP="00864027">
      <w:pPr>
        <w:pStyle w:val="NormaleWeb"/>
        <w:shd w:val="clear" w:color="auto" w:fill="FFFFFF"/>
        <w:spacing w:line="360" w:lineRule="auto"/>
        <w:ind w:firstLine="360"/>
        <w:jc w:val="both"/>
      </w:pPr>
      <w:r w:rsidRPr="00CC2095">
        <w:t>In</w:t>
      </w:r>
      <w:r w:rsidR="00FC3CA6">
        <w:t xml:space="preserve"> principio</w:t>
      </w:r>
      <w:r w:rsidRPr="00CC2095">
        <w:t xml:space="preserve"> </w:t>
      </w:r>
      <w:r w:rsidR="00FC3CA6">
        <w:t xml:space="preserve">il </w:t>
      </w:r>
      <w:r w:rsidR="006B3F63">
        <w:t>g</w:t>
      </w:r>
      <w:r w:rsidR="00FC3CA6">
        <w:t>iudice di legittimità</w:t>
      </w:r>
      <w:r w:rsidRPr="00CC2095">
        <w:t xml:space="preserve"> </w:t>
      </w:r>
      <w:r w:rsidR="00D620EC">
        <w:t>considerava rilevante</w:t>
      </w:r>
      <w:r w:rsidR="006B3F63">
        <w:t>,</w:t>
      </w:r>
      <w:r w:rsidRPr="00CC2095">
        <w:t xml:space="preserve"> ai </w:t>
      </w:r>
      <w:r w:rsidR="001643DE">
        <w:t>fi</w:t>
      </w:r>
      <w:r w:rsidRPr="00CC2095">
        <w:t>ni della validità dell’atto</w:t>
      </w:r>
      <w:r w:rsidR="006B3F63">
        <w:t xml:space="preserve"> negoziale avente ad oggetto il trasferimento di un bene immobile</w:t>
      </w:r>
      <w:r w:rsidRPr="00CC2095">
        <w:t xml:space="preserve">, solo il requisito formale, </w:t>
      </w:r>
      <w:r w:rsidR="006B3F63">
        <w:t xml:space="preserve">ovvero la presenza nell’atto di trasferimento del titolo edilizio abilitativo richiesto per la costruzione, </w:t>
      </w:r>
      <w:r w:rsidRPr="00CC2095">
        <w:t xml:space="preserve">con la conseguenza che l’atto era considerato </w:t>
      </w:r>
      <w:r w:rsidR="00221713" w:rsidRPr="00CC2095">
        <w:t>in ogni caso</w:t>
      </w:r>
      <w:r w:rsidRPr="00CC2095">
        <w:t xml:space="preserve"> nullo se carente delle dichiarazioni prescritte, e ciò a prescindere dalla regolarità effettiva dell’immobile</w:t>
      </w:r>
      <w:r w:rsidR="00845EB6">
        <w:rPr>
          <w:rStyle w:val="Rimandonotaapidipagina"/>
        </w:rPr>
        <w:footnoteReference w:id="3"/>
      </w:r>
      <w:r w:rsidRPr="00CC2095">
        <w:t>. La carenza del requisito sostanziale, veniva</w:t>
      </w:r>
      <w:r w:rsidR="00221713" w:rsidRPr="00221713">
        <w:t xml:space="preserve"> </w:t>
      </w:r>
      <w:r w:rsidR="00221713" w:rsidRPr="00CC2095">
        <w:t>dalla Cassazione</w:t>
      </w:r>
      <w:r w:rsidRPr="00CC2095">
        <w:t xml:space="preserve"> ri</w:t>
      </w:r>
      <w:r w:rsidR="00221713">
        <w:t>condotta</w:t>
      </w:r>
      <w:r w:rsidR="00221713" w:rsidRPr="00CC2095">
        <w:t>, all'opposto,</w:t>
      </w:r>
      <w:r w:rsidRPr="00CC2095">
        <w:t xml:space="preserve"> sul piano dell’inadempimento contrattuale e non su quello della nullità.</w:t>
      </w:r>
      <w:r w:rsidR="00221713">
        <w:t xml:space="preserve"> Pertanto, i</w:t>
      </w:r>
      <w:r w:rsidRPr="00CC2095">
        <w:t>l difetto di regolarità sostanziale del bene sotto il pro</w:t>
      </w:r>
      <w:r w:rsidR="001643DE">
        <w:t>fi</w:t>
      </w:r>
      <w:r w:rsidRPr="00CC2095">
        <w:t xml:space="preserve">lo urbanistico non rilevava di per sé ai </w:t>
      </w:r>
      <w:r w:rsidR="00221713">
        <w:t>fi</w:t>
      </w:r>
      <w:r w:rsidRPr="00CC2095">
        <w:t>ni della validità dell’atto, trovando</w:t>
      </w:r>
      <w:r w:rsidR="00FC3CA6">
        <w:t>,</w:t>
      </w:r>
      <w:r w:rsidRPr="00CC2095">
        <w:t xml:space="preserve"> invece, rimedio esclusivamente nella disciplina dell’inadempimento contrattuale</w:t>
      </w:r>
      <w:r w:rsidR="00845EB6">
        <w:rPr>
          <w:rStyle w:val="Rimandonotaapidipagina"/>
        </w:rPr>
        <w:footnoteReference w:id="4"/>
      </w:r>
      <w:r w:rsidRPr="00CC2095">
        <w:t xml:space="preserve">. La deduzione in contratto di un immobile abusivo, per il quale non esisteva alcuna possibilità di sanatoria, costituiva, </w:t>
      </w:r>
      <w:r w:rsidR="00221713" w:rsidRPr="00CC2095">
        <w:t>dunque</w:t>
      </w:r>
      <w:r w:rsidRPr="00CC2095">
        <w:t>, secondo l’opinione della Cassazione, non causa di nullità del contratto ma esclusivamente inadempimento di non scarsa importanza, tale da legittimare la richiesta di risoluzione del contratto per inadempimento</w:t>
      </w:r>
      <w:r w:rsidR="00845EB6">
        <w:rPr>
          <w:rStyle w:val="Rimandonotaapidipagina"/>
        </w:rPr>
        <w:footnoteReference w:id="5"/>
      </w:r>
      <w:r w:rsidRPr="00CC2095">
        <w:t xml:space="preserve">. </w:t>
      </w:r>
      <w:r w:rsidR="00221713">
        <w:t>Lungo questa prospettiva</w:t>
      </w:r>
      <w:r w:rsidRPr="00CC2095">
        <w:t xml:space="preserve">, </w:t>
      </w:r>
      <w:r w:rsidR="006B3F63">
        <w:t>coerentemente</w:t>
      </w:r>
      <w:r w:rsidR="00221713">
        <w:t xml:space="preserve">, </w:t>
      </w:r>
      <w:r w:rsidRPr="00CC2095">
        <w:t>assumeva esclusiva rilevanza</w:t>
      </w:r>
      <w:r w:rsidR="00221713">
        <w:t xml:space="preserve">, ai fini della validità dell’atto, </w:t>
      </w:r>
      <w:r w:rsidRPr="00CC2095">
        <w:t>il solo requisito formale, al punto d</w:t>
      </w:r>
      <w:r w:rsidR="0039227D">
        <w:t>a</w:t>
      </w:r>
      <w:r w:rsidRPr="00CC2095">
        <w:t xml:space="preserve"> escludere la nullità degli atti </w:t>
      </w:r>
      <w:r w:rsidR="006B3F63">
        <w:t>tutte le volte in cui</w:t>
      </w:r>
      <w:r w:rsidRPr="00CC2095">
        <w:t xml:space="preserve"> nell’atto fossero state inserite le prescritte menzioni anche se le stesse non fossero conformi al vero</w:t>
      </w:r>
      <w:r w:rsidR="00864027">
        <w:t xml:space="preserve">. </w:t>
      </w:r>
      <w:r w:rsidR="0039227D">
        <w:t>S</w:t>
      </w:r>
      <w:r w:rsidR="006B3F63">
        <w:t xml:space="preserve">ul punto </w:t>
      </w:r>
      <w:r w:rsidRPr="00CC2095">
        <w:t xml:space="preserve">si </w:t>
      </w:r>
      <w:r w:rsidR="00864027">
        <w:t>affermava</w:t>
      </w:r>
      <w:r w:rsidRPr="00CC2095">
        <w:t xml:space="preserve"> che per la validità del contratto </w:t>
      </w:r>
      <w:r w:rsidR="00864027">
        <w:t>era</w:t>
      </w:r>
      <w:r w:rsidRPr="00CC2095">
        <w:t xml:space="preserve"> necessaria unicamente l’autodichiarazione del venditore che la costruzion</w:t>
      </w:r>
      <w:r w:rsidR="00864027">
        <w:t xml:space="preserve">e fosse </w:t>
      </w:r>
      <w:r w:rsidRPr="00CC2095">
        <w:t xml:space="preserve">iniziata prima del </w:t>
      </w:r>
      <w:r w:rsidR="00D620EC" w:rsidRPr="00F21ACB">
        <w:t>1° settembre 1967</w:t>
      </w:r>
      <w:r w:rsidR="00D620EC">
        <w:t xml:space="preserve"> </w:t>
      </w:r>
      <w:r w:rsidRPr="00CC2095">
        <w:t>e non la veridicità della stessa, con</w:t>
      </w:r>
      <w:r w:rsidR="001643DE">
        <w:t>fi</w:t>
      </w:r>
      <w:r w:rsidRPr="00CC2095">
        <w:t>gurando la norma di legge una nullità formale e non sostanziale</w:t>
      </w:r>
      <w:r w:rsidR="00845EB6">
        <w:rPr>
          <w:rStyle w:val="Rimandonotaapidipagina"/>
        </w:rPr>
        <w:footnoteReference w:id="6"/>
      </w:r>
      <w:r w:rsidRPr="00CC2095">
        <w:t>.</w:t>
      </w:r>
      <w:r>
        <w:t xml:space="preserve"> La </w:t>
      </w:r>
      <w:r w:rsidR="00221713">
        <w:t xml:space="preserve">supremazia </w:t>
      </w:r>
      <w:r>
        <w:t>del pro</w:t>
      </w:r>
      <w:r w:rsidR="001643DE">
        <w:t>fi</w:t>
      </w:r>
      <w:r>
        <w:t xml:space="preserve">lo formale su quello sostanziale </w:t>
      </w:r>
      <w:r w:rsidR="00864027">
        <w:t>veniva</w:t>
      </w:r>
      <w:r>
        <w:t xml:space="preserve"> ribadita dalla Cassazione</w:t>
      </w:r>
      <w:r w:rsidR="00D978ED">
        <w:t xml:space="preserve"> anche con riferimento ai</w:t>
      </w:r>
      <w:r>
        <w:t xml:space="preserve"> canoni normativi in tema di </w:t>
      </w:r>
      <w:r w:rsidR="00D978ED">
        <w:t>ermeneutica</w:t>
      </w:r>
      <w:r>
        <w:t xml:space="preserve"> della legge </w:t>
      </w:r>
      <w:r w:rsidR="00D978ED">
        <w:t xml:space="preserve">che </w:t>
      </w:r>
      <w:r>
        <w:t>non con</w:t>
      </w:r>
      <w:r w:rsidR="00864027">
        <w:t>sentiva</w:t>
      </w:r>
      <w:r>
        <w:t xml:space="preserve"> di attribuire al testo normativo un signi</w:t>
      </w:r>
      <w:r w:rsidR="001643DE">
        <w:t>fi</w:t>
      </w:r>
      <w:r>
        <w:t>cato che presc</w:t>
      </w:r>
      <w:r w:rsidR="00864027">
        <w:t>indesse dal</w:t>
      </w:r>
      <w:r>
        <w:t>le espressioni formali in cui si articola</w:t>
      </w:r>
      <w:r w:rsidR="00864027">
        <w:t>va</w:t>
      </w:r>
      <w:r w:rsidR="00D978ED">
        <w:t>, di guisa che</w:t>
      </w:r>
      <w:r>
        <w:t xml:space="preserve"> </w:t>
      </w:r>
      <w:r w:rsidR="00D978ED">
        <w:t>la circostanza</w:t>
      </w:r>
      <w:r>
        <w:t xml:space="preserve"> che</w:t>
      </w:r>
      <w:r w:rsidR="00D978ED">
        <w:t xml:space="preserve"> le ipotesi</w:t>
      </w:r>
      <w:r>
        <w:t xml:space="preserve"> di nullità previst</w:t>
      </w:r>
      <w:r w:rsidR="00D978ED">
        <w:t>e</w:t>
      </w:r>
      <w:r>
        <w:t xml:space="preserve"> dalla norma </w:t>
      </w:r>
      <w:r w:rsidR="00864027">
        <w:t>erano</w:t>
      </w:r>
      <w:r>
        <w:t xml:space="preserve"> tassativ</w:t>
      </w:r>
      <w:r w:rsidR="00D978ED">
        <w:t>e</w:t>
      </w:r>
      <w:r>
        <w:t xml:space="preserve"> e non estensibili per analogia</w:t>
      </w:r>
      <w:r w:rsidR="00D978ED">
        <w:t xml:space="preserve"> determina</w:t>
      </w:r>
      <w:r w:rsidR="00864027">
        <w:t>va</w:t>
      </w:r>
      <w:r w:rsidR="00D978ED">
        <w:t xml:space="preserve"> che, a stretto rigore di legge,</w:t>
      </w:r>
      <w:r>
        <w:t xml:space="preserve"> </w:t>
      </w:r>
      <w:r w:rsidR="00D978ED">
        <w:t>la nullità</w:t>
      </w:r>
      <w:r>
        <w:t xml:space="preserve"> </w:t>
      </w:r>
      <w:r w:rsidR="00864027">
        <w:t>era</w:t>
      </w:r>
      <w:r>
        <w:t xml:space="preserve"> costituita unicamente dalla </w:t>
      </w:r>
      <w:r>
        <w:lastRenderedPageBreak/>
        <w:t>mancata indicazione degli estremi dei titoli edilizi ovvero dell’inizio della costruzione prima del 1967</w:t>
      </w:r>
      <w:r w:rsidR="00845EB6">
        <w:rPr>
          <w:rStyle w:val="Rimandonotaapidipagina"/>
        </w:rPr>
        <w:footnoteReference w:id="7"/>
      </w:r>
      <w:r>
        <w:t xml:space="preserve">. </w:t>
      </w:r>
      <w:r w:rsidR="00D978ED">
        <w:t xml:space="preserve">Secondo il </w:t>
      </w:r>
      <w:r w:rsidR="0039227D">
        <w:t>g</w:t>
      </w:r>
      <w:r w:rsidR="00D978ED">
        <w:t>iudice di legittimità, quindi, la</w:t>
      </w:r>
      <w:r>
        <w:t xml:space="preserve"> nullità prevista dalla legge 28 febbraio 1985 n. 47 e dal T.U. </w:t>
      </w:r>
      <w:r w:rsidR="00F33116">
        <w:t>d</w:t>
      </w:r>
      <w:r>
        <w:t>.</w:t>
      </w:r>
      <w:r w:rsidR="00F33116">
        <w:t>p</w:t>
      </w:r>
      <w:r>
        <w:t>.</w:t>
      </w:r>
      <w:r w:rsidR="00F33116">
        <w:t>r</w:t>
      </w:r>
      <w:r>
        <w:t>. 380/2001 assolveva esclusivamente una funzione di tutela dell’af</w:t>
      </w:r>
      <w:r w:rsidR="001643DE">
        <w:t>fi</w:t>
      </w:r>
      <w:r>
        <w:t xml:space="preserve">damento, sanzionando la sola violazione di un obbligo formale, imposto al venditore al </w:t>
      </w:r>
      <w:r w:rsidR="001643DE">
        <w:t>fi</w:t>
      </w:r>
      <w:r>
        <w:t>ne di porre l’acquirente di un immobile nella condizione di conoscere le condizioni dell’immobile acquistato e di effettuare gli accertamenti sulla sua regolarità edilizia; non poteva conseguentemente essere riconosciuta alcuna ef</w:t>
      </w:r>
      <w:r w:rsidR="001643DE">
        <w:t>fi</w:t>
      </w:r>
      <w:r>
        <w:t>cacia sanante all’esistenza dei titoli edilizi o della sanatoria non dichiarati in atto, così come, al contrario, nessuna invalidità poteva derivare al contratto dalla concreta difformità della costruzione dai titoli edilizi o dalla sanatoria e in generale dal difetto di conformità del bene rispetto alle norme urbanistiche</w:t>
      </w:r>
      <w:r w:rsidR="00845EB6">
        <w:rPr>
          <w:rStyle w:val="Rimandonotaapidipagina"/>
        </w:rPr>
        <w:footnoteReference w:id="8"/>
      </w:r>
      <w:r w:rsidR="00D620EC">
        <w:t>.</w:t>
      </w:r>
      <w:r w:rsidR="006B3F63">
        <w:t xml:space="preserve"> </w:t>
      </w:r>
      <w:r w:rsidR="006B3F63" w:rsidRPr="00CC2095">
        <w:t xml:space="preserve">La </w:t>
      </w:r>
      <w:r w:rsidR="006B3F63">
        <w:t xml:space="preserve">Suprema Corte di </w:t>
      </w:r>
      <w:r w:rsidR="006B3F63" w:rsidRPr="00CC2095">
        <w:t>Cassazione</w:t>
      </w:r>
      <w:r w:rsidR="006B3F63">
        <w:t>, nel 2013</w:t>
      </w:r>
      <w:r w:rsidR="00864027">
        <w:t xml:space="preserve">, con la pronuncia n. </w:t>
      </w:r>
      <w:r w:rsidR="00864027" w:rsidRPr="007B5DF2">
        <w:t>23591</w:t>
      </w:r>
      <w:r w:rsidR="00864027">
        <w:t xml:space="preserve">, ha compiuto un </w:t>
      </w:r>
      <w:r w:rsidR="006B3F63" w:rsidRPr="001643DE">
        <w:rPr>
          <w:i/>
        </w:rPr>
        <w:t>revirement</w:t>
      </w:r>
      <w:r w:rsidR="006B3F63">
        <w:t xml:space="preserve"> giurisprudenziale, </w:t>
      </w:r>
      <w:r w:rsidR="00864027">
        <w:t>con il quale ha ritenuto</w:t>
      </w:r>
      <w:r w:rsidR="006B3F63" w:rsidRPr="00CC2095">
        <w:t xml:space="preserve"> che alla nullità di carattere formale per mancata osservanza delle prescrizioni di legge si </w:t>
      </w:r>
      <w:r w:rsidR="006B3F63">
        <w:t>debba aggiungere</w:t>
      </w:r>
      <w:r w:rsidR="006B3F63" w:rsidRPr="00CC2095">
        <w:t xml:space="preserve"> anche una nullità sostanziale </w:t>
      </w:r>
      <w:r w:rsidR="006B3F63">
        <w:t>qualora</w:t>
      </w:r>
      <w:r w:rsidR="006B3F63" w:rsidRPr="00CC2095">
        <w:t xml:space="preserve"> la vendita </w:t>
      </w:r>
      <w:r w:rsidR="00864027">
        <w:t>avesse</w:t>
      </w:r>
      <w:r w:rsidR="006B3F63" w:rsidRPr="00CC2095">
        <w:t xml:space="preserve"> per oggetto un fabbricato non in regola con la normativa urbanistica.</w:t>
      </w:r>
      <w:r w:rsidR="006B3F63">
        <w:t xml:space="preserve"> </w:t>
      </w:r>
      <w:r w:rsidR="00864027">
        <w:t>Con il menzionato</w:t>
      </w:r>
      <w:r>
        <w:t xml:space="preserve"> </w:t>
      </w:r>
      <w:r w:rsidRPr="00FC3CA6">
        <w:rPr>
          <w:i/>
        </w:rPr>
        <w:t>“cambio di rotta”</w:t>
      </w:r>
      <w:r w:rsidR="00864027">
        <w:t>,</w:t>
      </w:r>
      <w:r w:rsidR="00864027">
        <w:rPr>
          <w:i/>
        </w:rPr>
        <w:t xml:space="preserve"> </w:t>
      </w:r>
      <w:r>
        <w:t>la Cassazione</w:t>
      </w:r>
      <w:r w:rsidR="00F33116">
        <w:t xml:space="preserve"> </w:t>
      </w:r>
      <w:r w:rsidR="00864027">
        <w:t xml:space="preserve">ha affermato </w:t>
      </w:r>
      <w:r>
        <w:t xml:space="preserve">che la </w:t>
      </w:r>
      <w:r w:rsidRPr="00FC3CA6">
        <w:rPr>
          <w:i/>
        </w:rPr>
        <w:t>“non perfetta formulazione della disposizione di legge consente di affermare che dalla stessa è desumibile il principio generale di nullità (di carattere sostanziale) degli atti di trasferimento di immobili non in regola con la normativa urbanistica, cui si aggiunge una nullità (di carattere formale) per gli atti di trasferimento di immobili in regola con la normativa urbanistica o per i quali è in corso la regolarizzazione, ove tali circostanze non risultino dagli atti stessi”</w:t>
      </w:r>
      <w:r w:rsidR="00FC3CA6" w:rsidRPr="00FC3CA6">
        <w:t>.</w:t>
      </w:r>
      <w:r>
        <w:t xml:space="preserve"> Per </w:t>
      </w:r>
      <w:r w:rsidR="00F33116">
        <w:t xml:space="preserve">attribuire precipua </w:t>
      </w:r>
      <w:r>
        <w:t xml:space="preserve">rilevanza anche al requisito sostanziale </w:t>
      </w:r>
      <w:r w:rsidR="00C92E1F">
        <w:t>gli Ermellini sono</w:t>
      </w:r>
      <w:r w:rsidR="004765B6">
        <w:t xml:space="preserve"> arrivat</w:t>
      </w:r>
      <w:r w:rsidR="00C92E1F">
        <w:t>i</w:t>
      </w:r>
      <w:r>
        <w:t xml:space="preserve"> a con</w:t>
      </w:r>
      <w:r w:rsidR="001643DE">
        <w:t>fi</w:t>
      </w:r>
      <w:r>
        <w:t>gurare due distinte</w:t>
      </w:r>
      <w:r w:rsidR="00F33116">
        <w:t xml:space="preserve"> tipologie di</w:t>
      </w:r>
      <w:r>
        <w:t xml:space="preserve"> nullità: una nullità di carattere sostanziale che colpisce gli atti di trasferimento di immobili non in regola con la normativa urbanistica</w:t>
      </w:r>
      <w:r w:rsidR="00F33116">
        <w:t>,</w:t>
      </w:r>
      <w:r>
        <w:t xml:space="preserve"> </w:t>
      </w:r>
      <w:r w:rsidR="00F33116">
        <w:t>nonché</w:t>
      </w:r>
      <w:r>
        <w:t xml:space="preserve"> una </w:t>
      </w:r>
      <w:r w:rsidR="00F33116">
        <w:t xml:space="preserve">altra </w:t>
      </w:r>
      <w:r>
        <w:t>nullità</w:t>
      </w:r>
      <w:r w:rsidR="00F33116">
        <w:t>, stavolta di</w:t>
      </w:r>
      <w:r>
        <w:t xml:space="preserve"> carattere formale</w:t>
      </w:r>
      <w:r w:rsidR="00F33116">
        <w:t>,</w:t>
      </w:r>
      <w:r>
        <w:t xml:space="preserve"> che colpisce gli atti di trasferimento di immobili in regola con la normativa urbanistica o per i quali è in corso la regolarizzazione, nei quali non siano menzionati gli estremi dei titoli edilizi (compresi quelli in sanatoria), con la conseguenza che potrebbe esservi una coesistenza di entrambe le </w:t>
      </w:r>
      <w:r w:rsidR="00C92E1F">
        <w:t>pred</w:t>
      </w:r>
      <w:r>
        <w:t>ette nullità nell’ipotesi di atti carenti delle prescritte menzioni ed aventi per oggetto immobili irregolari sotto il pro</w:t>
      </w:r>
      <w:r w:rsidR="00FC3CA6">
        <w:t>fi</w:t>
      </w:r>
      <w:r>
        <w:t xml:space="preserve">lo urbanistico. Tale </w:t>
      </w:r>
      <w:r w:rsidR="00F33116">
        <w:t>impostazione</w:t>
      </w:r>
      <w:r>
        <w:t xml:space="preserve"> è stat</w:t>
      </w:r>
      <w:r w:rsidR="00F33116">
        <w:t>a successivamente</w:t>
      </w:r>
      <w:r>
        <w:t xml:space="preserve"> </w:t>
      </w:r>
      <w:r w:rsidR="00F33116">
        <w:t>avallata</w:t>
      </w:r>
      <w:r>
        <w:t xml:space="preserve"> dall</w:t>
      </w:r>
      <w:r w:rsidR="00F33116">
        <w:t>e pronunce della</w:t>
      </w:r>
      <w:r>
        <w:t xml:space="preserve"> Cassazione </w:t>
      </w:r>
      <w:proofErr w:type="spellStart"/>
      <w:r w:rsidR="00F33116">
        <w:t>n</w:t>
      </w:r>
      <w:r>
        <w:t>n</w:t>
      </w:r>
      <w:proofErr w:type="spellEnd"/>
      <w:r>
        <w:t>. 28194 del 17 dicembre 2013</w:t>
      </w:r>
      <w:r w:rsidR="00F33116">
        <w:t xml:space="preserve"> -</w:t>
      </w:r>
      <w:r>
        <w:t xml:space="preserve"> 25811 del 5 dicembre 2014 </w:t>
      </w:r>
      <w:r w:rsidR="00F33116">
        <w:t xml:space="preserve">- </w:t>
      </w:r>
      <w:r>
        <w:t xml:space="preserve">18261 del 17 settembre 2015. </w:t>
      </w:r>
      <w:r w:rsidR="00C92E1F">
        <w:t xml:space="preserve">Nonostante le </w:t>
      </w:r>
      <w:r w:rsidR="00C92E1F">
        <w:lastRenderedPageBreak/>
        <w:t xml:space="preserve">conferme giurisprudenziali occorse, tale </w:t>
      </w:r>
      <w:r>
        <w:t xml:space="preserve">ultimo orientamento </w:t>
      </w:r>
      <w:r w:rsidR="00C92E1F">
        <w:t>ha suscitato diverse perplessità in dottrina, riscontrando non pochi dubbi anche in seno alla Corte di Cassazione stessa. Le perplessità in esame sono sfociate nell’ordinanza del</w:t>
      </w:r>
      <w:r>
        <w:t xml:space="preserve">la Seconda Sezione Civile della Cassazione </w:t>
      </w:r>
      <w:r w:rsidR="004765B6">
        <w:t xml:space="preserve">n. </w:t>
      </w:r>
      <w:r>
        <w:t>20061 del 9 gennaio 2018</w:t>
      </w:r>
      <w:r w:rsidR="00C92E1F">
        <w:t>, con la quale</w:t>
      </w:r>
      <w:r>
        <w:t xml:space="preserve"> </w:t>
      </w:r>
      <w:r w:rsidR="00E0034B">
        <w:t>si sono rimessi</w:t>
      </w:r>
      <w:r>
        <w:t xml:space="preserve"> gli atti di causa al </w:t>
      </w:r>
      <w:r w:rsidR="00522751">
        <w:t>P</w:t>
      </w:r>
      <w:r>
        <w:t xml:space="preserve">rimo Presidente per l’eventuale assegnazione alle Sezioni Unite </w:t>
      </w:r>
      <w:r w:rsidRPr="00FC3CA6">
        <w:rPr>
          <w:i/>
        </w:rPr>
        <w:t xml:space="preserve">“ai </w:t>
      </w:r>
      <w:r w:rsidR="00FC3CA6" w:rsidRPr="00FC3CA6">
        <w:rPr>
          <w:i/>
        </w:rPr>
        <w:t>fi</w:t>
      </w:r>
      <w:r w:rsidRPr="00FC3CA6">
        <w:rPr>
          <w:i/>
        </w:rPr>
        <w:t>ni della composizione del rilevato contrasto diacronico sulla natura della nullità urbanistica”</w:t>
      </w:r>
    </w:p>
    <w:p w14:paraId="4E65F8C3" w14:textId="1FF9015C" w:rsidR="00A66159" w:rsidRDefault="00C32744" w:rsidP="00A66159">
      <w:pPr>
        <w:pStyle w:val="Paragrafoelenco"/>
        <w:numPr>
          <w:ilvl w:val="0"/>
          <w:numId w:val="14"/>
        </w:numPr>
        <w:spacing w:line="360" w:lineRule="auto"/>
        <w:ind w:right="-46"/>
        <w:rPr>
          <w:rFonts w:ascii="Times New Roman" w:hAnsi="Times New Roman" w:cs="Times New Roman"/>
          <w:b/>
          <w:sz w:val="28"/>
          <w:szCs w:val="28"/>
        </w:rPr>
      </w:pPr>
      <w:r>
        <w:rPr>
          <w:rFonts w:ascii="Times New Roman" w:hAnsi="Times New Roman" w:cs="Times New Roman"/>
          <w:b/>
          <w:sz w:val="28"/>
          <w:szCs w:val="28"/>
        </w:rPr>
        <w:t>L</w:t>
      </w:r>
      <w:r w:rsidR="00B10B25">
        <w:rPr>
          <w:rFonts w:ascii="Times New Roman" w:hAnsi="Times New Roman" w:cs="Times New Roman"/>
          <w:b/>
          <w:sz w:val="28"/>
          <w:szCs w:val="28"/>
        </w:rPr>
        <w:t>’ordinanza di rimessione</w:t>
      </w:r>
    </w:p>
    <w:p w14:paraId="6A591C43" w14:textId="2DDF86D5" w:rsidR="00415D84" w:rsidRDefault="001643DE" w:rsidP="00415D84">
      <w:pPr>
        <w:pStyle w:val="NormaleWeb"/>
        <w:shd w:val="clear" w:color="auto" w:fill="FFFFFF"/>
        <w:spacing w:before="240" w:after="240" w:line="360" w:lineRule="auto"/>
        <w:ind w:firstLine="360"/>
        <w:jc w:val="both"/>
      </w:pPr>
      <w:r w:rsidRPr="001643DE">
        <w:t xml:space="preserve">Con ordinanza </w:t>
      </w:r>
      <w:r w:rsidR="005C495D">
        <w:t>del 9 gennaio 2018 n.</w:t>
      </w:r>
      <w:r w:rsidRPr="001643DE">
        <w:t xml:space="preserve"> </w:t>
      </w:r>
      <w:r w:rsidR="005C495D">
        <w:t xml:space="preserve">20061, </w:t>
      </w:r>
      <w:r w:rsidRPr="001643DE">
        <w:t xml:space="preserve">la Seconda Sezione Civile della </w:t>
      </w:r>
      <w:r w:rsidR="005C495D">
        <w:t xml:space="preserve">Corte di </w:t>
      </w:r>
      <w:r w:rsidRPr="001643DE">
        <w:t>Cassazione</w:t>
      </w:r>
      <w:r w:rsidR="00522751">
        <w:t>,</w:t>
      </w:r>
      <w:r w:rsidRPr="001643DE">
        <w:t xml:space="preserve"> </w:t>
      </w:r>
      <w:r w:rsidR="00522751">
        <w:t xml:space="preserve">ritenendo </w:t>
      </w:r>
      <w:r w:rsidRPr="001643DE">
        <w:t xml:space="preserve">che l’orientamento inaugurato dalle sentenze </w:t>
      </w:r>
      <w:proofErr w:type="spellStart"/>
      <w:r w:rsidRPr="001643DE">
        <w:t>nn</w:t>
      </w:r>
      <w:proofErr w:type="spellEnd"/>
      <w:r w:rsidRPr="001643DE">
        <w:t>. 23591/13 e 28194/13</w:t>
      </w:r>
      <w:r w:rsidR="00315471">
        <w:t>,</w:t>
      </w:r>
      <w:r w:rsidR="00AF21B5">
        <w:t xml:space="preserve"> con il quale si sanciva la natura sostanziale </w:t>
      </w:r>
      <w:r w:rsidR="00315471">
        <w:t xml:space="preserve">della nullità </w:t>
      </w:r>
      <w:r w:rsidR="00AF21B5">
        <w:t>degli atti negoziali di trasferimento di imm</w:t>
      </w:r>
      <w:r w:rsidR="00315471">
        <w:t>obili non in regola con la disciplina urbanistica</w:t>
      </w:r>
      <w:r w:rsidR="00AF21B5">
        <w:t xml:space="preserve">, </w:t>
      </w:r>
      <w:r w:rsidRPr="001643DE">
        <w:t>merita</w:t>
      </w:r>
      <w:r w:rsidR="00522751">
        <w:t>sse</w:t>
      </w:r>
      <w:r w:rsidRPr="001643DE">
        <w:t xml:space="preserve"> un riconsiderazione</w:t>
      </w:r>
      <w:r w:rsidR="00522751">
        <w:t>, ha rimesso gli atti di causa al Primo Presidente per l’assegnazione alle Sezioni Uniti. Il Collegio rimettente</w:t>
      </w:r>
      <w:r w:rsidR="00376807">
        <w:t xml:space="preserve"> nell’ordinanza in esame</w:t>
      </w:r>
      <w:r w:rsidR="00522751">
        <w:t xml:space="preserve"> ha evidenziato che</w:t>
      </w:r>
      <w:r w:rsidRPr="001643DE">
        <w:t xml:space="preserve"> la tesi della nullità sostanziale</w:t>
      </w:r>
      <w:r w:rsidR="00522751">
        <w:t>,</w:t>
      </w:r>
      <w:r w:rsidRPr="001643DE">
        <w:t xml:space="preserve"> oltre a non trovare riscontro </w:t>
      </w:r>
      <w:r w:rsidR="00315471">
        <w:t xml:space="preserve">effettivo </w:t>
      </w:r>
      <w:r w:rsidRPr="001643DE">
        <w:t>nella lettera della legge</w:t>
      </w:r>
      <w:r w:rsidR="005C495D">
        <w:t xml:space="preserve"> </w:t>
      </w:r>
      <w:r w:rsidR="00E0034B">
        <w:t>(</w:t>
      </w:r>
      <w:r w:rsidR="005C495D">
        <w:t>che</w:t>
      </w:r>
      <w:r w:rsidRPr="001643DE">
        <w:t xml:space="preserve"> sanziona </w:t>
      </w:r>
      <w:r w:rsidR="005C495D">
        <w:t xml:space="preserve">unicamente </w:t>
      </w:r>
      <w:r w:rsidRPr="001643DE">
        <w:t>l’assenza di una dichiarazione negoziale dell’alienante avente ad oggetto gli estremi dei provvedimenti concessori senza alcun riferimento alla necessità che la consistenza reale di tale immobile sia conforme a quella</w:t>
      </w:r>
      <w:r>
        <w:t xml:space="preserve"> r</w:t>
      </w:r>
      <w:r w:rsidRPr="001643DE">
        <w:t>isultante dai progetti approvati con detti provvedimenti concessori</w:t>
      </w:r>
      <w:r w:rsidR="00E0034B">
        <w:t>)</w:t>
      </w:r>
      <w:r w:rsidR="005C495D">
        <w:t>,</w:t>
      </w:r>
      <w:r w:rsidRPr="001643DE">
        <w:t xml:space="preserve"> </w:t>
      </w:r>
      <w:r w:rsidR="005C495D">
        <w:t>appare madre</w:t>
      </w:r>
      <w:r w:rsidRPr="001643DE">
        <w:t xml:space="preserve"> di notevoli complicazioni nella prassi applicativa</w:t>
      </w:r>
      <w:r w:rsidR="00315471">
        <w:t xml:space="preserve">, </w:t>
      </w:r>
      <w:r w:rsidRPr="001643DE">
        <w:t>rischia</w:t>
      </w:r>
      <w:r w:rsidR="00522751">
        <w:t>ndo</w:t>
      </w:r>
      <w:r w:rsidRPr="001643DE">
        <w:t xml:space="preserve"> di pregiudicare in maniera signi</w:t>
      </w:r>
      <w:r>
        <w:t>fi</w:t>
      </w:r>
      <w:r w:rsidRPr="001643DE">
        <w:t>cativa gli interessi della parte acquirente</w:t>
      </w:r>
      <w:r w:rsidR="007B701E">
        <w:t xml:space="preserve">. </w:t>
      </w:r>
      <w:r w:rsidR="00522751">
        <w:t>Ed in vero</w:t>
      </w:r>
      <w:r w:rsidR="007B701E">
        <w:t xml:space="preserve">, l’acquirente in buona fede rimarrebbe </w:t>
      </w:r>
      <w:r w:rsidRPr="001643DE">
        <w:t>espost</w:t>
      </w:r>
      <w:r w:rsidR="007B701E">
        <w:t>o</w:t>
      </w:r>
      <w:r w:rsidRPr="001643DE">
        <w:t xml:space="preserve">, con la dichiarazione di nullità dell’atto di trasferimento, alla perdita dell’immobile </w:t>
      </w:r>
      <w:r w:rsidR="007B701E">
        <w:t xml:space="preserve">e </w:t>
      </w:r>
      <w:r w:rsidRPr="001643DE">
        <w:t>con la conseguente necessità di procedere al recupero del prezzo versato</w:t>
      </w:r>
      <w:r w:rsidR="007B701E">
        <w:t>, sebbene</w:t>
      </w:r>
      <w:r w:rsidRPr="001643DE">
        <w:t xml:space="preserve"> aveva fatto incolpevole af</w:t>
      </w:r>
      <w:r>
        <w:t>fi</w:t>
      </w:r>
      <w:r w:rsidRPr="001643DE">
        <w:t xml:space="preserve">damento sulla validità dell’atto. Con l’ordinanza </w:t>
      </w:r>
      <w:r w:rsidRPr="007B701E">
        <w:rPr>
          <w:i/>
        </w:rPr>
        <w:t>de quo</w:t>
      </w:r>
      <w:r w:rsidRPr="001643DE">
        <w:t xml:space="preserve"> la Seconda Sezione Civile della Cassazione osserva, inoltre, che con l’accoglimento della teoria della nullità sostanziale si </w:t>
      </w:r>
      <w:r w:rsidR="009E4D51">
        <w:t>introdu</w:t>
      </w:r>
      <w:r w:rsidR="00E0034B">
        <w:t>rr</w:t>
      </w:r>
      <w:r w:rsidR="009E4D51">
        <w:t>e</w:t>
      </w:r>
      <w:r w:rsidR="00E0034B">
        <w:t>bbe</w:t>
      </w:r>
      <w:r w:rsidRPr="001643DE">
        <w:t xml:space="preserve"> una ulteriore problematica di non facile soluzione: quella della rilevanza delle irregolarità edilizie ai </w:t>
      </w:r>
      <w:r w:rsidR="007B701E">
        <w:t>fi</w:t>
      </w:r>
      <w:r w:rsidRPr="001643DE">
        <w:t xml:space="preserve">ni della commerciabilità degli immobili. </w:t>
      </w:r>
      <w:r w:rsidR="007B701E">
        <w:t>Precisa</w:t>
      </w:r>
      <w:r w:rsidRPr="001643DE">
        <w:t>,</w:t>
      </w:r>
      <w:r w:rsidR="007B701E">
        <w:t xml:space="preserve"> </w:t>
      </w:r>
      <w:r w:rsidR="009E4D51">
        <w:t>in proposito</w:t>
      </w:r>
      <w:r w:rsidRPr="001643DE">
        <w:t xml:space="preserve">, il Collegio che la nozione di irregolarità urbanistica è nozione assai </w:t>
      </w:r>
      <w:r w:rsidR="00E0034B">
        <w:t>eterogene</w:t>
      </w:r>
      <w:r w:rsidRPr="001643DE">
        <w:t>a, che presenta un esteso ventaglio di articolazioni, dall’immobile edi</w:t>
      </w:r>
      <w:r>
        <w:t>fi</w:t>
      </w:r>
      <w:r w:rsidRPr="001643DE">
        <w:t>cato in assenza di concessione, all’immobile edi</w:t>
      </w:r>
      <w:r>
        <w:t>fi</w:t>
      </w:r>
      <w:r w:rsidRPr="001643DE">
        <w:t xml:space="preserve">cato in totale difformità dalla concessione, all’immobile che presenta una variazione essenziale rispetto alla concessione o, ancora, a quello che presenta una parziale difformità dalla concessione. </w:t>
      </w:r>
      <w:r w:rsidR="007B701E">
        <w:t>A</w:t>
      </w:r>
      <w:r w:rsidRPr="001643DE">
        <w:t xml:space="preserve">l riguardo </w:t>
      </w:r>
      <w:r w:rsidR="007B701E">
        <w:t>il Collegio lamenta</w:t>
      </w:r>
      <w:r w:rsidR="00E0034B">
        <w:t xml:space="preserve">, poi, </w:t>
      </w:r>
      <w:r w:rsidR="007B701E">
        <w:t xml:space="preserve">che </w:t>
      </w:r>
      <w:r w:rsidRPr="001643DE">
        <w:t xml:space="preserve">né nelle sentenze </w:t>
      </w:r>
      <w:proofErr w:type="spellStart"/>
      <w:r w:rsidRPr="001643DE">
        <w:t>nn</w:t>
      </w:r>
      <w:proofErr w:type="spellEnd"/>
      <w:r w:rsidRPr="001643DE">
        <w:t xml:space="preserve">. 23591/13 e 28194/13 né nelle sentenze 25811/14 e 18261/15 si </w:t>
      </w:r>
      <w:r w:rsidR="007B701E">
        <w:t>compie una doverosa distinzione</w:t>
      </w:r>
      <w:r w:rsidRPr="001643DE">
        <w:t xml:space="preserve"> tra le ipotesi di difformità totale, variazione essenziale o variazione </w:t>
      </w:r>
      <w:r w:rsidRPr="001643DE">
        <w:lastRenderedPageBreak/>
        <w:t xml:space="preserve">parziale non essenziale, </w:t>
      </w:r>
      <w:r w:rsidR="007B701E">
        <w:t xml:space="preserve">sebbene </w:t>
      </w:r>
      <w:r w:rsidRPr="001643DE">
        <w:t xml:space="preserve">in tali pronunce si enunci il principio generale della nullità di carattere sostanziale degli atti di trasferimento di </w:t>
      </w:r>
      <w:r w:rsidRPr="007B701E">
        <w:rPr>
          <w:i/>
        </w:rPr>
        <w:t>“immobili non in regola con la normativa urbanistica”</w:t>
      </w:r>
      <w:r w:rsidRPr="001643DE">
        <w:t>. Sotto questo pro</w:t>
      </w:r>
      <w:r>
        <w:t>fi</w:t>
      </w:r>
      <w:r w:rsidRPr="001643DE">
        <w:t xml:space="preserve">lo, a parere del Collegio, sarebbe, </w:t>
      </w:r>
      <w:r w:rsidR="007B701E" w:rsidRPr="001643DE">
        <w:t>dunque</w:t>
      </w:r>
      <w:r w:rsidRPr="001643DE">
        <w:t>, auspicabile</w:t>
      </w:r>
      <w:r w:rsidR="007B701E">
        <w:t xml:space="preserve"> e doveroso</w:t>
      </w:r>
      <w:r w:rsidRPr="001643DE">
        <w:t xml:space="preserve"> un chiarimento da parte delle Sezioni Unite </w:t>
      </w:r>
      <w:r w:rsidR="007B701E">
        <w:t>in merito al</w:t>
      </w:r>
      <w:r w:rsidRPr="001643DE">
        <w:t xml:space="preserve">la </w:t>
      </w:r>
      <w:r w:rsidR="007B701E">
        <w:t>ampiezza</w:t>
      </w:r>
      <w:r w:rsidRPr="001643DE">
        <w:t xml:space="preserve"> della nozione di irregolarità urbanistica. </w:t>
      </w:r>
      <w:r w:rsidR="00E0034B">
        <w:t>S</w:t>
      </w:r>
      <w:r w:rsidRPr="001643DE">
        <w:t>otto un altro pro</w:t>
      </w:r>
      <w:r>
        <w:t>fi</w:t>
      </w:r>
      <w:r w:rsidRPr="001643DE">
        <w:t xml:space="preserve">lo il Collegio evidenzia come la tesi della natura sostanziale della nullità </w:t>
      </w:r>
      <w:r>
        <w:t>fi</w:t>
      </w:r>
      <w:r w:rsidRPr="001643DE">
        <w:t>nisca con il far dipendere la validità del contratto da valutazioni, quali quelle legate alla diversa portata della irregolarità edilizia, che sul piano teorico possono considerarsi nitide, ma che sul piano operativo possono implicare non pochi margini di opinabilità, considerando che la veri</w:t>
      </w:r>
      <w:r>
        <w:t>fi</w:t>
      </w:r>
      <w:r w:rsidRPr="001643DE">
        <w:t>ca in concreto della gravità della irregolarità urbanistica è demandata, per legge, alle amministrazioni municipali</w:t>
      </w:r>
      <w:r w:rsidR="007B701E">
        <w:t xml:space="preserve">, </w:t>
      </w:r>
      <w:r w:rsidRPr="001643DE">
        <w:t>le cui normative ed i cui orientamenti interpretativi non sempre forniscono criteri di valutazione idonei ad orientare con chiarezza e certezza le valutazioni dei tecnici delle parti contraenti</w:t>
      </w:r>
      <w:r w:rsidR="007B701E">
        <w:t xml:space="preserve">, </w:t>
      </w:r>
      <w:r w:rsidRPr="001643DE">
        <w:t xml:space="preserve">e </w:t>
      </w:r>
      <w:r w:rsidR="007B701E">
        <w:t>a</w:t>
      </w:r>
      <w:r w:rsidRPr="001643DE">
        <w:t>llo stesso Notaio rogante</w:t>
      </w:r>
      <w:r w:rsidR="007B701E">
        <w:t xml:space="preserve">, </w:t>
      </w:r>
      <w:r w:rsidRPr="001643DE">
        <w:t>oltre che, in second</w:t>
      </w:r>
      <w:r>
        <w:t>a</w:t>
      </w:r>
      <w:r w:rsidRPr="001643DE">
        <w:t xml:space="preserve"> battuta, al giudice amministrativo. </w:t>
      </w:r>
      <w:r w:rsidR="007B701E">
        <w:t>Infine, i</w:t>
      </w:r>
      <w:r w:rsidRPr="001643DE">
        <w:t xml:space="preserve">l Collegio </w:t>
      </w:r>
      <w:r w:rsidR="007B701E">
        <w:t xml:space="preserve">remittente </w:t>
      </w:r>
      <w:r w:rsidR="00E0034B">
        <w:t>evidenzia la necessità che</w:t>
      </w:r>
      <w:r w:rsidRPr="001643DE">
        <w:t xml:space="preserve"> la pronuncia </w:t>
      </w:r>
      <w:r w:rsidR="007B701E">
        <w:t xml:space="preserve">delle </w:t>
      </w:r>
      <w:r w:rsidRPr="001643DE">
        <w:t xml:space="preserve">Sezioni Unite </w:t>
      </w:r>
      <w:r w:rsidR="00C50F81">
        <w:t>chiarisca</w:t>
      </w:r>
      <w:r w:rsidR="00E0034B">
        <w:t xml:space="preserve">, </w:t>
      </w:r>
      <w:r w:rsidR="007B701E">
        <w:t xml:space="preserve">in virtù </w:t>
      </w:r>
      <w:r w:rsidRPr="001643DE">
        <w:t>di</w:t>
      </w:r>
      <w:r w:rsidR="007B701E">
        <w:t xml:space="preserve"> un</w:t>
      </w:r>
      <w:r w:rsidRPr="001643DE">
        <w:t xml:space="preserve"> bilanciamento tra le esigenze del contrasto all’abusivismo e le esigenze di tutela dell’acquirente</w:t>
      </w:r>
      <w:r w:rsidR="00E0034B">
        <w:t xml:space="preserve">, </w:t>
      </w:r>
      <w:r w:rsidR="00C50F81">
        <w:t xml:space="preserve">in che misura la difformità tra </w:t>
      </w:r>
      <w:r w:rsidR="00C50F81" w:rsidRPr="00C50F81">
        <w:rPr>
          <w:i/>
        </w:rPr>
        <w:t>“concesso”</w:t>
      </w:r>
      <w:r w:rsidR="00C50F81">
        <w:t xml:space="preserve"> e </w:t>
      </w:r>
      <w:r w:rsidR="00C50F81" w:rsidRPr="00C50F81">
        <w:rPr>
          <w:i/>
        </w:rPr>
        <w:t>“costruito”</w:t>
      </w:r>
      <w:r w:rsidR="00C50F81">
        <w:t xml:space="preserve"> assuma rilevanza ai fini della validità dell’atto traslativo</w:t>
      </w:r>
      <w:r w:rsidRPr="001643DE">
        <w:t>.</w:t>
      </w:r>
      <w:r w:rsidR="00A66159">
        <w:t xml:space="preserve"> </w:t>
      </w:r>
      <w:r w:rsidR="00415D84">
        <w:t xml:space="preserve">  </w:t>
      </w:r>
    </w:p>
    <w:p w14:paraId="779E314B" w14:textId="1A219CEA" w:rsidR="00415D84" w:rsidRPr="00573BC4" w:rsidRDefault="00415D84" w:rsidP="00415D84">
      <w:pPr>
        <w:pStyle w:val="Paragrafoelenco"/>
        <w:numPr>
          <w:ilvl w:val="0"/>
          <w:numId w:val="14"/>
        </w:numPr>
        <w:spacing w:line="360" w:lineRule="auto"/>
        <w:ind w:right="-46"/>
        <w:rPr>
          <w:rFonts w:ascii="Times New Roman" w:hAnsi="Times New Roman" w:cs="Times New Roman"/>
          <w:b/>
          <w:i/>
          <w:sz w:val="28"/>
          <w:szCs w:val="28"/>
        </w:rPr>
      </w:pPr>
      <w:r>
        <w:rPr>
          <w:rFonts w:ascii="Times New Roman" w:hAnsi="Times New Roman" w:cs="Times New Roman"/>
          <w:b/>
          <w:sz w:val="28"/>
          <w:szCs w:val="28"/>
        </w:rPr>
        <w:t xml:space="preserve">La </w:t>
      </w:r>
      <w:r w:rsidRPr="00573BC4">
        <w:rPr>
          <w:rFonts w:ascii="Times New Roman" w:hAnsi="Times New Roman" w:cs="Times New Roman"/>
          <w:b/>
          <w:i/>
          <w:sz w:val="28"/>
          <w:szCs w:val="28"/>
        </w:rPr>
        <w:t>“terza via”</w:t>
      </w:r>
      <w:r w:rsidR="004765B6" w:rsidRPr="004765B6">
        <w:rPr>
          <w:rFonts w:ascii="Times New Roman" w:hAnsi="Times New Roman" w:cs="Times New Roman"/>
          <w:b/>
          <w:sz w:val="28"/>
          <w:szCs w:val="28"/>
        </w:rPr>
        <w:t xml:space="preserve">: </w:t>
      </w:r>
      <w:r w:rsidR="004765B6">
        <w:rPr>
          <w:rFonts w:ascii="Times New Roman" w:hAnsi="Times New Roman" w:cs="Times New Roman"/>
          <w:b/>
          <w:sz w:val="28"/>
          <w:szCs w:val="28"/>
        </w:rPr>
        <w:t>la nullità testuale</w:t>
      </w:r>
    </w:p>
    <w:p w14:paraId="398E0025" w14:textId="75A6DFDB" w:rsidR="00415D84" w:rsidRPr="00415D84" w:rsidRDefault="006119D0" w:rsidP="00315471">
      <w:pPr>
        <w:pStyle w:val="NormaleWeb"/>
        <w:shd w:val="clear" w:color="auto" w:fill="FFFFFF"/>
        <w:spacing w:before="0" w:after="240" w:line="360" w:lineRule="auto"/>
        <w:ind w:firstLine="360"/>
        <w:jc w:val="both"/>
      </w:pPr>
      <w:r>
        <w:t>D</w:t>
      </w:r>
      <w:r w:rsidR="003A37F6">
        <w:t>opo aver d</w:t>
      </w:r>
      <w:r>
        <w:t xml:space="preserve">elineato </w:t>
      </w:r>
      <w:r w:rsidR="00415D84" w:rsidRPr="00415D84">
        <w:t>lo stato dell’arte di una questione tanto controversa da condurre alla rimessione della stessa alle Sezioni Unite con l’ordinanza 30.7.2018, n. 20061, è interessante dar conto di un terzo orientamento, espresso dalla dottrina prevalentemente in ambito notarile</w:t>
      </w:r>
      <w:r w:rsidR="003A37F6">
        <w:t>,</w:t>
      </w:r>
      <w:r>
        <w:t xml:space="preserve"> che tenta</w:t>
      </w:r>
      <w:r w:rsidR="00415D84" w:rsidRPr="00415D84">
        <w:t xml:space="preserve"> di superare il contrasto interpretativo corrente, suggerendo di valutare la questione da altro piano prospettico. Più che distinguere tra nullità formale e nullità sostanziale, </w:t>
      </w:r>
      <w:r>
        <w:t xml:space="preserve">infatti, </w:t>
      </w:r>
      <w:r w:rsidR="00415D84" w:rsidRPr="00415D84">
        <w:t>potrebbe concludersi per la sussistenza di un’unica nullità</w:t>
      </w:r>
      <w:r>
        <w:t>: quella</w:t>
      </w:r>
      <w:r w:rsidR="00415D84" w:rsidRPr="00415D84">
        <w:t xml:space="preserve"> </w:t>
      </w:r>
      <w:r w:rsidR="00A84223" w:rsidRPr="00A84223">
        <w:rPr>
          <w:i/>
        </w:rPr>
        <w:t>“</w:t>
      </w:r>
      <w:r w:rsidR="00415D84" w:rsidRPr="00A84223">
        <w:rPr>
          <w:i/>
        </w:rPr>
        <w:t>testuale</w:t>
      </w:r>
      <w:r w:rsidR="00A84223" w:rsidRPr="00A84223">
        <w:rPr>
          <w:i/>
        </w:rPr>
        <w:t>”</w:t>
      </w:r>
      <w:r>
        <w:t xml:space="preserve">. Con tale espressione, </w:t>
      </w:r>
      <w:r w:rsidRPr="00415D84">
        <w:t>in stretta adesione al dato normativo</w:t>
      </w:r>
      <w:r>
        <w:t>, s’intende</w:t>
      </w:r>
      <w:r w:rsidR="00415D84" w:rsidRPr="00415D84">
        <w:t xml:space="preserve"> l’invalidità assoluta determinata dall’assenza di menzioni urbanistiche cui</w:t>
      </w:r>
      <w:r>
        <w:t xml:space="preserve"> </w:t>
      </w:r>
      <w:r w:rsidR="00415D84" w:rsidRPr="00415D84">
        <w:t>non può che corrispondere</w:t>
      </w:r>
      <w:r w:rsidRPr="00415D84">
        <w:t xml:space="preserve">, sul profilo </w:t>
      </w:r>
      <w:r w:rsidRPr="006119D0">
        <w:rPr>
          <w:i/>
        </w:rPr>
        <w:t>“sostanziale”</w:t>
      </w:r>
      <w:r w:rsidRPr="00415D84">
        <w:t xml:space="preserve">, </w:t>
      </w:r>
      <w:r w:rsidR="00415D84" w:rsidRPr="00415D84">
        <w:t xml:space="preserve">il mancato rilascio </w:t>
      </w:r>
      <w:r w:rsidR="00415D84" w:rsidRPr="006119D0">
        <w:rPr>
          <w:i/>
        </w:rPr>
        <w:t>ab origine</w:t>
      </w:r>
      <w:r w:rsidR="00415D84" w:rsidRPr="00415D84">
        <w:t xml:space="preserve"> del titolo edilizio abilitativo.</w:t>
      </w:r>
      <w:r>
        <w:t xml:space="preserve"> Ovverosia</w:t>
      </w:r>
      <w:r w:rsidR="00415D84" w:rsidRPr="00415D84">
        <w:t xml:space="preserve">, data l’imprescindibile coincidenza tra requisito formale e requisito sostanziale, l’incommerciabilità del fabbricato potrà determinarsi solo in caso di costruzione in assenza di titolo edilizio ovvero in totale difformità dallo stesso. </w:t>
      </w:r>
      <w:r w:rsidR="000C23CF">
        <w:t>L</w:t>
      </w:r>
      <w:r w:rsidR="000C23CF" w:rsidRPr="00F21ACB">
        <w:t xml:space="preserve">a </w:t>
      </w:r>
      <w:r>
        <w:rPr>
          <w:i/>
        </w:rPr>
        <w:t>vexata quaestio</w:t>
      </w:r>
      <w:r w:rsidR="000C23CF" w:rsidRPr="00F21ACB">
        <w:t xml:space="preserve"> circa la natura della nullità in materia urbanistica</w:t>
      </w:r>
      <w:r>
        <w:t xml:space="preserve">, </w:t>
      </w:r>
      <w:r w:rsidR="000C23CF" w:rsidRPr="00F21ACB">
        <w:t>fondata sull’alternativa nullità formale</w:t>
      </w:r>
      <w:r w:rsidR="00315471">
        <w:t>/</w:t>
      </w:r>
      <w:r w:rsidR="000C23CF" w:rsidRPr="00F21ACB">
        <w:t>nullità sostanziale</w:t>
      </w:r>
      <w:r>
        <w:t>,</w:t>
      </w:r>
      <w:r w:rsidR="000C23CF" w:rsidRPr="00F21ACB">
        <w:t xml:space="preserve"> appa</w:t>
      </w:r>
      <w:r>
        <w:t>re</w:t>
      </w:r>
      <w:r w:rsidR="000939F3">
        <w:t>,</w:t>
      </w:r>
      <w:r w:rsidR="000C23CF" w:rsidRPr="00F21ACB">
        <w:t xml:space="preserve"> </w:t>
      </w:r>
      <w:r w:rsidR="000939F3">
        <w:t xml:space="preserve">quindi, </w:t>
      </w:r>
      <w:r w:rsidR="000C23CF" w:rsidRPr="00F21ACB">
        <w:t>mal posta.</w:t>
      </w:r>
      <w:r w:rsidR="000C23CF">
        <w:t xml:space="preserve"> </w:t>
      </w:r>
      <w:r w:rsidR="000939F3">
        <w:t xml:space="preserve">In armonia con quanto detto, allora, la </w:t>
      </w:r>
      <w:r w:rsidR="000C23CF" w:rsidRPr="00F21ACB">
        <w:t xml:space="preserve">circostanza che per la validità degli atti traslativi o </w:t>
      </w:r>
      <w:r w:rsidR="000C23CF" w:rsidRPr="00F21ACB">
        <w:lastRenderedPageBreak/>
        <w:t xml:space="preserve">divisionali di fabbricati </w:t>
      </w:r>
      <w:r w:rsidR="000939F3">
        <w:t>occorra</w:t>
      </w:r>
      <w:r w:rsidR="000C23CF" w:rsidRPr="00F21ACB">
        <w:t xml:space="preserve"> la coesistenza sia del requisito formale che del requisito sostanziale</w:t>
      </w:r>
      <w:r w:rsidR="000939F3">
        <w:t xml:space="preserve"> altro non è che una diversa connotazione della medesima forma di invalidità negoziale</w:t>
      </w:r>
      <w:r w:rsidR="000C23CF" w:rsidRPr="00F21ACB">
        <w:t xml:space="preserve">. A ben vedere, infatti, la nullità in questione non può che essere una ed una soltanto, </w:t>
      </w:r>
      <w:r w:rsidR="00315471">
        <w:t>in ragione della considerazione</w:t>
      </w:r>
      <w:r w:rsidR="000C23CF" w:rsidRPr="00F21ACB">
        <w:t xml:space="preserve"> che il requisito sostanziale è il presupposto stesso per l’esistenza del requisito formale. </w:t>
      </w:r>
      <w:r w:rsidR="00315471">
        <w:t>Difatti, s</w:t>
      </w:r>
      <w:r w:rsidR="000C23CF" w:rsidRPr="00F21ACB">
        <w:t>e non sussiste il requisito sostanziale non può neppure essere rispettato il requisito formale. Il rispetto del requisito formale richiede che i titoli edilizi citati</w:t>
      </w:r>
      <w:r w:rsidR="000939F3">
        <w:t xml:space="preserve">, </w:t>
      </w:r>
      <w:r w:rsidR="000C23CF" w:rsidRPr="00F21ACB">
        <w:t xml:space="preserve">relativi alla vicenda costruttiva o ad una eventuale ristrutturazione </w:t>
      </w:r>
      <w:r w:rsidR="000C23CF" w:rsidRPr="000939F3">
        <w:rPr>
          <w:i/>
        </w:rPr>
        <w:t>“pesante”</w:t>
      </w:r>
      <w:r w:rsidR="000939F3">
        <w:t>,</w:t>
      </w:r>
      <w:r w:rsidR="000C23CF" w:rsidRPr="00F21ACB">
        <w:t xml:space="preserve"> effettivamente esistano e siano riferibili al fabbricato negoziato ovvero, in caso di autodichiarazione di costruzione anteriore al 1° settembre 1967, che tale circostanza corrisponda effettivamente al vero. Il requisito formale non potrà ritenersi rispettato se la dichiarazione resa è falsa ovvero se il fabbricato, contrariamente a quanto dichiarato, non è stato costruito prima del 1° settembre 1967 ovvero se il titolo citato non esiste ovvero se il titolo citato si riferisce ad altro e diverso fabbricato ovvero se il fabbricato è stato costruito o ristrutturato in totale difformità dal titolo citato</w:t>
      </w:r>
      <w:r w:rsidR="000939F3">
        <w:t xml:space="preserve">, </w:t>
      </w:r>
      <w:r w:rsidR="000C23CF" w:rsidRPr="00F21ACB">
        <w:t xml:space="preserve">per cui non può in nessun modo essere riferibile al progetto approvato col titolo citato. Pertanto, anche la cd. </w:t>
      </w:r>
      <w:r w:rsidR="000C23CF" w:rsidRPr="00A84223">
        <w:rPr>
          <w:i/>
        </w:rPr>
        <w:t>“nullità sostanziale”</w:t>
      </w:r>
      <w:r w:rsidR="000C23CF" w:rsidRPr="00F21ACB">
        <w:t xml:space="preserve"> in realtà va ricondotta alla nullità per mancanza delle menzioni, posto che la menzione riportata, in quanto non riferibile, per uno dei motivi sopra illustrati, al fabbricato negoziato, è </w:t>
      </w:r>
      <w:proofErr w:type="spellStart"/>
      <w:r w:rsidR="000C23CF" w:rsidRPr="00A84223">
        <w:rPr>
          <w:i/>
        </w:rPr>
        <w:t>tamquam</w:t>
      </w:r>
      <w:proofErr w:type="spellEnd"/>
      <w:r w:rsidR="000C23CF" w:rsidRPr="00A84223">
        <w:rPr>
          <w:i/>
        </w:rPr>
        <w:t xml:space="preserve"> non </w:t>
      </w:r>
      <w:proofErr w:type="spellStart"/>
      <w:r w:rsidR="000C23CF" w:rsidRPr="00A84223">
        <w:rPr>
          <w:i/>
        </w:rPr>
        <w:t>esset</w:t>
      </w:r>
      <w:proofErr w:type="spellEnd"/>
      <w:r w:rsidR="000C23CF" w:rsidRPr="00F21ACB">
        <w:t xml:space="preserve">; si può parlare al riguardo, più correttamente, di </w:t>
      </w:r>
      <w:r w:rsidR="000C23CF" w:rsidRPr="000939F3">
        <w:rPr>
          <w:i/>
        </w:rPr>
        <w:t>“nullità testuale”</w:t>
      </w:r>
      <w:r w:rsidR="000C23CF" w:rsidRPr="00F21ACB">
        <w:t xml:space="preserve"> (</w:t>
      </w:r>
      <w:r w:rsidR="000939F3">
        <w:t>secondo alcuni autori</w:t>
      </w:r>
      <w:r w:rsidR="000C23CF" w:rsidRPr="00F21ACB">
        <w:t xml:space="preserve"> documentale) proprio per distinguerla sia dalla cd. </w:t>
      </w:r>
      <w:r w:rsidR="000C23CF" w:rsidRPr="00A84223">
        <w:rPr>
          <w:i/>
        </w:rPr>
        <w:t>“nullità formale”</w:t>
      </w:r>
      <w:r w:rsidR="000C23CF" w:rsidRPr="00F21ACB">
        <w:t xml:space="preserve"> che dalla cd. </w:t>
      </w:r>
      <w:r w:rsidR="000C23CF" w:rsidRPr="00A84223">
        <w:rPr>
          <w:i/>
        </w:rPr>
        <w:t>“nullità sostanziale”</w:t>
      </w:r>
      <w:r w:rsidR="004A6E5F">
        <w:t>. I</w:t>
      </w:r>
      <w:r w:rsidR="000C23CF" w:rsidRPr="00F21ACB">
        <w:t xml:space="preserve">n </w:t>
      </w:r>
      <w:r w:rsidR="000939F3">
        <w:t>definitiva</w:t>
      </w:r>
      <w:r w:rsidR="004A6E5F">
        <w:t>,</w:t>
      </w:r>
      <w:r w:rsidR="000939F3">
        <w:t xml:space="preserve"> </w:t>
      </w:r>
      <w:r w:rsidR="000C23CF" w:rsidRPr="00F21ACB">
        <w:t xml:space="preserve">con l’espressione </w:t>
      </w:r>
      <w:r w:rsidR="000C23CF" w:rsidRPr="00A84223">
        <w:rPr>
          <w:i/>
        </w:rPr>
        <w:t>“nullità formale”</w:t>
      </w:r>
      <w:r w:rsidR="000C23CF" w:rsidRPr="00F21ACB">
        <w:t xml:space="preserve"> si fa riferimento alla nullità ca</w:t>
      </w:r>
      <w:r w:rsidR="004A6E5F">
        <w:t>gion</w:t>
      </w:r>
      <w:r w:rsidR="000C23CF" w:rsidRPr="00F21ACB">
        <w:t xml:space="preserve">ata dalla sola mancanza delle menzioni urbanistiche, nullità comunque esclusa dalla presenza di dette menzioni anche se non corrispondenti al vero; con l’espressione </w:t>
      </w:r>
      <w:r w:rsidR="000C23CF" w:rsidRPr="00A84223">
        <w:rPr>
          <w:i/>
        </w:rPr>
        <w:t>“nullità sostanziale”</w:t>
      </w:r>
      <w:r w:rsidR="000C23CF" w:rsidRPr="00F21ACB">
        <w:t xml:space="preserve"> si fa riferimento alla nullità </w:t>
      </w:r>
      <w:r w:rsidR="004A6E5F" w:rsidRPr="00F21ACB">
        <w:t>generata</w:t>
      </w:r>
      <w:r w:rsidR="000C23CF" w:rsidRPr="00F21ACB">
        <w:t xml:space="preserve"> dalla irregolarità urbanistica </w:t>
      </w:r>
      <w:r w:rsidR="000939F3">
        <w:t>grave</w:t>
      </w:r>
      <w:r w:rsidR="000C23CF" w:rsidRPr="00F21ACB">
        <w:t xml:space="preserve"> dell’immobile negoziato; </w:t>
      </w:r>
      <w:r w:rsidR="000939F3">
        <w:t>e, infine,</w:t>
      </w:r>
      <w:r w:rsidR="000C23CF" w:rsidRPr="00F21ACB">
        <w:t xml:space="preserve"> con l’espressione </w:t>
      </w:r>
      <w:r w:rsidR="000C23CF" w:rsidRPr="00A84223">
        <w:rPr>
          <w:i/>
        </w:rPr>
        <w:t>“nullità testuale”</w:t>
      </w:r>
      <w:r w:rsidR="000C23CF" w:rsidRPr="00F21ACB">
        <w:t xml:space="preserve"> si fa, invece, riferimento alla nullità </w:t>
      </w:r>
      <w:r w:rsidR="004A6E5F" w:rsidRPr="00F21ACB">
        <w:t>originata</w:t>
      </w:r>
      <w:r w:rsidR="000C23CF" w:rsidRPr="00F21ACB">
        <w:t xml:space="preserve"> dalla mancanza delle menzioni urbanistiche, ossia del requisito formale, che è l’unica prevista dalle norme in commento, nullità che rimane esclusa solo se le suddette menzioni corrispondono al vero, con la conseguenza che risulterà incommerciabile il fabbricato costruito in assenza di titolo edilizio ovvero in totale difformità dal titolo rilasciato, non potendo l’atto traslativo o divisionale avente per oggetto un simile fabbricato essere corredato dalle prescritte menzioni urbanistiche</w:t>
      </w:r>
      <w:r w:rsidR="000939F3">
        <w:t xml:space="preserve">. Concludendo, </w:t>
      </w:r>
      <w:r w:rsidR="000C23CF" w:rsidRPr="00F21ACB">
        <w:t>per la validità di un simile atto, requisito formale e requisito sostanziale debbono coesistere</w:t>
      </w:r>
      <w:r w:rsidR="000939F3">
        <w:t>, non sussistendo</w:t>
      </w:r>
      <w:r w:rsidR="000C23CF" w:rsidRPr="00F21ACB">
        <w:t xml:space="preserve"> alcuna necessità di con</w:t>
      </w:r>
      <w:r w:rsidR="000C23CF">
        <w:t>fi</w:t>
      </w:r>
      <w:r w:rsidR="000C23CF" w:rsidRPr="00F21ACB">
        <w:t xml:space="preserve">gurare due distinte nullità al </w:t>
      </w:r>
      <w:r w:rsidR="00A84223">
        <w:t>fi</w:t>
      </w:r>
      <w:r w:rsidR="000C23CF" w:rsidRPr="00F21ACB">
        <w:t>ne di dare rilevanza, per la validità dell’atto, oltre che al requisito formale anche al requisito sostanziale</w:t>
      </w:r>
      <w:r w:rsidR="0009738E">
        <w:t>. Ed in vero,</w:t>
      </w:r>
      <w:r w:rsidR="000C23CF" w:rsidRPr="00F21ACB">
        <w:t xml:space="preserve"> la coesistenza tra i due requisiti non va considerata su un piano </w:t>
      </w:r>
      <w:r w:rsidR="000C23CF" w:rsidRPr="00A84223">
        <w:rPr>
          <w:i/>
        </w:rPr>
        <w:t>“orizzontale”</w:t>
      </w:r>
      <w:r w:rsidR="000C23CF" w:rsidRPr="00F21ACB">
        <w:t xml:space="preserve">, come se si trattasse di due requisiti autonomi e </w:t>
      </w:r>
      <w:r w:rsidR="000C23CF" w:rsidRPr="00F21ACB">
        <w:lastRenderedPageBreak/>
        <w:t>distinti tra di loro, il cui concorso sia necessario per evitare la nullità dell’atto, ma vanno considerati piuttosto, sotto un pro</w:t>
      </w:r>
      <w:r w:rsidR="000C23CF">
        <w:t>fi</w:t>
      </w:r>
      <w:r w:rsidR="000C23CF" w:rsidRPr="00F21ACB">
        <w:t xml:space="preserve">lo </w:t>
      </w:r>
      <w:r w:rsidR="000C23CF" w:rsidRPr="00A84223">
        <w:rPr>
          <w:i/>
        </w:rPr>
        <w:t>“verticale”</w:t>
      </w:r>
      <w:r w:rsidR="000C23CF" w:rsidRPr="00F21ACB">
        <w:t xml:space="preserve">: a monte sta il requisito sostanziale, a valle si pone invece il requisito formale; in pratica il </w:t>
      </w:r>
      <w:r w:rsidR="000C23CF" w:rsidRPr="00A84223">
        <w:rPr>
          <w:i/>
        </w:rPr>
        <w:t>“requisito formale”</w:t>
      </w:r>
      <w:r w:rsidR="000C23CF" w:rsidRPr="00F21ACB">
        <w:t>, l’unico richiesto dalla normativa vigente per la validità dell’atto, non può neppure considerarsi esistente se a monte non sussiste il requisito sostanziale, che né</w:t>
      </w:r>
      <w:r w:rsidR="00706AF4">
        <w:t xml:space="preserve"> costituisce,</w:t>
      </w:r>
      <w:r w:rsidR="000C23CF" w:rsidRPr="00F21ACB">
        <w:t xml:space="preserve"> pertanto</w:t>
      </w:r>
      <w:r w:rsidR="00706AF4">
        <w:t>,</w:t>
      </w:r>
      <w:r w:rsidR="000C23CF" w:rsidRPr="00F21ACB">
        <w:t xml:space="preserve"> il presupposto </w:t>
      </w:r>
      <w:r w:rsidR="004A6E5F">
        <w:t>indefettibile</w:t>
      </w:r>
      <w:r w:rsidR="000C23CF" w:rsidRPr="00F21ACB">
        <w:t xml:space="preserve"> di sussistenza. </w:t>
      </w:r>
    </w:p>
    <w:p w14:paraId="3820D49D" w14:textId="680BEA24" w:rsidR="00F666C6" w:rsidRDefault="00415D84" w:rsidP="00415D84">
      <w:pPr>
        <w:pStyle w:val="Paragrafoelenco"/>
        <w:numPr>
          <w:ilvl w:val="0"/>
          <w:numId w:val="14"/>
        </w:numPr>
        <w:spacing w:line="360" w:lineRule="auto"/>
        <w:ind w:right="-46"/>
        <w:rPr>
          <w:rFonts w:ascii="Times New Roman" w:hAnsi="Times New Roman" w:cs="Times New Roman"/>
          <w:b/>
          <w:sz w:val="28"/>
          <w:szCs w:val="28"/>
        </w:rPr>
      </w:pPr>
      <w:r>
        <w:rPr>
          <w:rFonts w:ascii="Times New Roman" w:hAnsi="Times New Roman" w:cs="Times New Roman"/>
          <w:b/>
          <w:sz w:val="28"/>
          <w:szCs w:val="28"/>
        </w:rPr>
        <w:t xml:space="preserve">Considerazioni </w:t>
      </w:r>
      <w:r w:rsidR="00FA2908">
        <w:rPr>
          <w:rFonts w:ascii="Times New Roman" w:hAnsi="Times New Roman" w:cs="Times New Roman"/>
          <w:b/>
          <w:sz w:val="28"/>
          <w:szCs w:val="28"/>
        </w:rPr>
        <w:t>a margine</w:t>
      </w:r>
    </w:p>
    <w:p w14:paraId="0526C524" w14:textId="4984EF38" w:rsidR="00FD0878" w:rsidRDefault="00EF2B1C" w:rsidP="00376807">
      <w:pPr>
        <w:spacing w:line="360" w:lineRule="auto"/>
        <w:ind w:left="0" w:right="-46" w:firstLine="426"/>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w:t>
      </w:r>
      <w:r w:rsidR="00F21ACB" w:rsidRPr="00F21ACB">
        <w:rPr>
          <w:rFonts w:ascii="Times New Roman" w:eastAsia="Times New Roman" w:hAnsi="Times New Roman" w:cs="Times New Roman"/>
          <w:sz w:val="24"/>
          <w:szCs w:val="24"/>
          <w:lang w:eastAsia="it-IT"/>
        </w:rPr>
        <w:t>a questione</w:t>
      </w:r>
      <w:r w:rsidR="00DB7BF6">
        <w:rPr>
          <w:rFonts w:ascii="Times New Roman" w:eastAsia="Times New Roman" w:hAnsi="Times New Roman" w:cs="Times New Roman"/>
          <w:sz w:val="24"/>
          <w:szCs w:val="24"/>
          <w:lang w:eastAsia="it-IT"/>
        </w:rPr>
        <w:t xml:space="preserve">, </w:t>
      </w:r>
      <w:r w:rsidR="00DB7BF6" w:rsidRPr="00590239">
        <w:rPr>
          <w:rFonts w:ascii="Times New Roman" w:eastAsia="Times New Roman" w:hAnsi="Times New Roman" w:cs="Times New Roman"/>
          <w:sz w:val="24"/>
          <w:szCs w:val="24"/>
          <w:lang w:eastAsia="it-IT"/>
        </w:rPr>
        <w:t>proteiforme e paradigmatica</w:t>
      </w:r>
      <w:r w:rsidR="00DB7BF6">
        <w:rPr>
          <w:rFonts w:ascii="Times New Roman" w:eastAsia="Times New Roman" w:hAnsi="Times New Roman" w:cs="Times New Roman"/>
          <w:sz w:val="24"/>
          <w:szCs w:val="24"/>
          <w:lang w:eastAsia="it-IT"/>
        </w:rPr>
        <w:t xml:space="preserve">, </w:t>
      </w:r>
      <w:r w:rsidR="00F21ACB" w:rsidRPr="00F21ACB">
        <w:rPr>
          <w:rFonts w:ascii="Times New Roman" w:eastAsia="Times New Roman" w:hAnsi="Times New Roman" w:cs="Times New Roman"/>
          <w:sz w:val="24"/>
          <w:szCs w:val="24"/>
          <w:lang w:eastAsia="it-IT"/>
        </w:rPr>
        <w:t xml:space="preserve">circa </w:t>
      </w:r>
      <w:r w:rsidR="003A37F6">
        <w:rPr>
          <w:rFonts w:ascii="Times New Roman" w:hAnsi="Times New Roman" w:cs="Times New Roman"/>
          <w:sz w:val="24"/>
          <w:szCs w:val="24"/>
        </w:rPr>
        <w:t>la natura della nullità degli atti negoziali di trasferimento di immobili irregolari sotto il profilo della legge urbanistica,</w:t>
      </w:r>
      <w:r w:rsidR="00DB7BF6">
        <w:rPr>
          <w:rFonts w:ascii="Times New Roman" w:eastAsia="Times New Roman" w:hAnsi="Times New Roman" w:cs="Times New Roman"/>
          <w:sz w:val="24"/>
          <w:szCs w:val="24"/>
          <w:lang w:eastAsia="it-IT"/>
        </w:rPr>
        <w:t xml:space="preserve"> col passare del tempo, </w:t>
      </w:r>
      <w:r w:rsidR="003A37F6">
        <w:rPr>
          <w:rFonts w:ascii="Times New Roman" w:eastAsia="Times New Roman" w:hAnsi="Times New Roman" w:cs="Times New Roman"/>
          <w:sz w:val="24"/>
          <w:szCs w:val="24"/>
          <w:lang w:eastAsia="it-IT"/>
        </w:rPr>
        <w:t xml:space="preserve">ha assunto </w:t>
      </w:r>
      <w:r w:rsidR="00DB7BF6">
        <w:rPr>
          <w:rFonts w:ascii="Times New Roman" w:eastAsia="Times New Roman" w:hAnsi="Times New Roman" w:cs="Times New Roman"/>
          <w:sz w:val="24"/>
          <w:szCs w:val="24"/>
          <w:lang w:eastAsia="it-IT"/>
        </w:rPr>
        <w:t xml:space="preserve">le sembianze di un giano bifronte che vede coesistere all’interno della </w:t>
      </w:r>
      <w:r w:rsidR="003A37F6">
        <w:rPr>
          <w:rFonts w:ascii="Times New Roman" w:eastAsia="Times New Roman" w:hAnsi="Times New Roman" w:cs="Times New Roman"/>
          <w:sz w:val="24"/>
          <w:szCs w:val="24"/>
          <w:lang w:eastAsia="it-IT"/>
        </w:rPr>
        <w:t xml:space="preserve">medesima </w:t>
      </w:r>
      <w:r w:rsidR="00DB7BF6">
        <w:rPr>
          <w:rFonts w:ascii="Times New Roman" w:eastAsia="Times New Roman" w:hAnsi="Times New Roman" w:cs="Times New Roman"/>
          <w:sz w:val="24"/>
          <w:szCs w:val="24"/>
          <w:lang w:eastAsia="it-IT"/>
        </w:rPr>
        <w:t xml:space="preserve">categoria giuridica della nullità urbanistica due diverse </w:t>
      </w:r>
      <w:r w:rsidR="00766147">
        <w:rPr>
          <w:rFonts w:ascii="Times New Roman" w:eastAsia="Times New Roman" w:hAnsi="Times New Roman" w:cs="Times New Roman"/>
          <w:sz w:val="24"/>
          <w:szCs w:val="24"/>
          <w:lang w:eastAsia="it-IT"/>
        </w:rPr>
        <w:t>anime</w:t>
      </w:r>
      <w:r w:rsidR="00706AF4">
        <w:rPr>
          <w:rFonts w:ascii="Times New Roman" w:eastAsia="Times New Roman" w:hAnsi="Times New Roman" w:cs="Times New Roman"/>
          <w:sz w:val="24"/>
          <w:szCs w:val="24"/>
          <w:lang w:eastAsia="it-IT"/>
        </w:rPr>
        <w:t>:</w:t>
      </w:r>
      <w:r w:rsidR="00DB7BF6">
        <w:rPr>
          <w:rFonts w:ascii="Times New Roman" w:eastAsia="Times New Roman" w:hAnsi="Times New Roman" w:cs="Times New Roman"/>
          <w:sz w:val="24"/>
          <w:szCs w:val="24"/>
          <w:lang w:eastAsia="it-IT"/>
        </w:rPr>
        <w:t xml:space="preserve"> quella formale e quella sostanziale, espressione dell</w:t>
      </w:r>
      <w:r w:rsidR="00766147">
        <w:rPr>
          <w:rFonts w:ascii="Times New Roman" w:eastAsia="Times New Roman" w:hAnsi="Times New Roman" w:cs="Times New Roman"/>
          <w:sz w:val="24"/>
          <w:szCs w:val="24"/>
          <w:lang w:eastAsia="it-IT"/>
        </w:rPr>
        <w:t>e contrapposte</w:t>
      </w:r>
      <w:r w:rsidR="00DB7BF6">
        <w:rPr>
          <w:rFonts w:ascii="Times New Roman" w:eastAsia="Times New Roman" w:hAnsi="Times New Roman" w:cs="Times New Roman"/>
          <w:sz w:val="24"/>
          <w:szCs w:val="24"/>
          <w:lang w:eastAsia="it-IT"/>
        </w:rPr>
        <w:t xml:space="preserve"> esigenz</w:t>
      </w:r>
      <w:r w:rsidR="00766147">
        <w:rPr>
          <w:rFonts w:ascii="Times New Roman" w:eastAsia="Times New Roman" w:hAnsi="Times New Roman" w:cs="Times New Roman"/>
          <w:sz w:val="24"/>
          <w:szCs w:val="24"/>
          <w:lang w:eastAsia="it-IT"/>
        </w:rPr>
        <w:t>e</w:t>
      </w:r>
      <w:r w:rsidR="00DB7BF6">
        <w:rPr>
          <w:rFonts w:ascii="Times New Roman" w:eastAsia="Times New Roman" w:hAnsi="Times New Roman" w:cs="Times New Roman"/>
          <w:sz w:val="24"/>
          <w:szCs w:val="24"/>
          <w:lang w:eastAsia="it-IT"/>
        </w:rPr>
        <w:t xml:space="preserve"> di </w:t>
      </w:r>
      <w:r w:rsidR="00766147">
        <w:rPr>
          <w:rFonts w:ascii="Times New Roman" w:eastAsia="Times New Roman" w:hAnsi="Times New Roman" w:cs="Times New Roman"/>
          <w:sz w:val="24"/>
          <w:szCs w:val="24"/>
          <w:lang w:eastAsia="it-IT"/>
        </w:rPr>
        <w:t>lotta</w:t>
      </w:r>
      <w:r w:rsidR="00DB7BF6">
        <w:rPr>
          <w:rFonts w:ascii="Times New Roman" w:eastAsia="Times New Roman" w:hAnsi="Times New Roman" w:cs="Times New Roman"/>
          <w:sz w:val="24"/>
          <w:szCs w:val="24"/>
          <w:lang w:eastAsia="it-IT"/>
        </w:rPr>
        <w:t xml:space="preserve"> </w:t>
      </w:r>
      <w:r w:rsidR="00766147">
        <w:rPr>
          <w:rFonts w:ascii="Times New Roman" w:eastAsia="Times New Roman" w:hAnsi="Times New Roman" w:cs="Times New Roman"/>
          <w:sz w:val="24"/>
          <w:szCs w:val="24"/>
          <w:lang w:eastAsia="it-IT"/>
        </w:rPr>
        <w:t>al</w:t>
      </w:r>
      <w:r w:rsidR="00DB7BF6">
        <w:rPr>
          <w:rFonts w:ascii="Times New Roman" w:eastAsia="Times New Roman" w:hAnsi="Times New Roman" w:cs="Times New Roman"/>
          <w:sz w:val="24"/>
          <w:szCs w:val="24"/>
          <w:lang w:eastAsia="it-IT"/>
        </w:rPr>
        <w:t>l’abusivismo edilizio e di tutela</w:t>
      </w:r>
      <w:r w:rsidR="00766147">
        <w:rPr>
          <w:rFonts w:ascii="Times New Roman" w:eastAsia="Times New Roman" w:hAnsi="Times New Roman" w:cs="Times New Roman"/>
          <w:sz w:val="24"/>
          <w:szCs w:val="24"/>
          <w:lang w:eastAsia="it-IT"/>
        </w:rPr>
        <w:t xml:space="preserve"> de</w:t>
      </w:r>
      <w:r w:rsidR="00DB7BF6">
        <w:rPr>
          <w:rFonts w:ascii="Times New Roman" w:eastAsia="Times New Roman" w:hAnsi="Times New Roman" w:cs="Times New Roman"/>
          <w:sz w:val="24"/>
          <w:szCs w:val="24"/>
          <w:lang w:eastAsia="it-IT"/>
        </w:rPr>
        <w:t xml:space="preserve">l legittimo affidamento dell’acquirente in buona fede. </w:t>
      </w:r>
      <w:r w:rsidR="00706AF4">
        <w:rPr>
          <w:rFonts w:ascii="Times New Roman" w:eastAsia="Times New Roman" w:hAnsi="Times New Roman" w:cs="Times New Roman"/>
          <w:sz w:val="24"/>
          <w:szCs w:val="24"/>
          <w:lang w:eastAsia="it-IT"/>
        </w:rPr>
        <w:t xml:space="preserve">A parere di chi scrive, </w:t>
      </w:r>
      <w:r w:rsidR="00F36DD2">
        <w:rPr>
          <w:rFonts w:ascii="Times New Roman" w:eastAsia="Times New Roman" w:hAnsi="Times New Roman" w:cs="Times New Roman"/>
          <w:sz w:val="24"/>
          <w:szCs w:val="24"/>
          <w:lang w:eastAsia="it-IT"/>
        </w:rPr>
        <w:t xml:space="preserve">e sulla premessa che la teoria mediana della nullità </w:t>
      </w:r>
      <w:r w:rsidR="00F36DD2" w:rsidRPr="00F36DD2">
        <w:rPr>
          <w:rFonts w:ascii="Times New Roman" w:eastAsia="Times New Roman" w:hAnsi="Times New Roman" w:cs="Times New Roman"/>
          <w:i/>
          <w:sz w:val="24"/>
          <w:szCs w:val="24"/>
          <w:lang w:eastAsia="it-IT"/>
        </w:rPr>
        <w:t>“testuale”</w:t>
      </w:r>
      <w:r w:rsidR="00F36DD2">
        <w:rPr>
          <w:rFonts w:ascii="Times New Roman" w:eastAsia="Times New Roman" w:hAnsi="Times New Roman" w:cs="Times New Roman"/>
          <w:sz w:val="24"/>
          <w:szCs w:val="24"/>
          <w:lang w:eastAsia="it-IT"/>
        </w:rPr>
        <w:t xml:space="preserve"> altro non è che una proiezione verticale della tesi </w:t>
      </w:r>
      <w:r w:rsidR="00F36DD2" w:rsidRPr="00F36DD2">
        <w:rPr>
          <w:rFonts w:ascii="Times New Roman" w:eastAsia="Times New Roman" w:hAnsi="Times New Roman" w:cs="Times New Roman"/>
          <w:i/>
          <w:sz w:val="24"/>
          <w:szCs w:val="24"/>
          <w:lang w:eastAsia="it-IT"/>
        </w:rPr>
        <w:t>“formalistica”</w:t>
      </w:r>
      <w:r w:rsidR="00F36DD2">
        <w:rPr>
          <w:rFonts w:ascii="Times New Roman" w:eastAsia="Times New Roman" w:hAnsi="Times New Roman" w:cs="Times New Roman"/>
          <w:sz w:val="24"/>
          <w:szCs w:val="24"/>
          <w:lang w:eastAsia="it-IT"/>
        </w:rPr>
        <w:t xml:space="preserve">,  </w:t>
      </w:r>
      <w:r w:rsidR="00706AF4">
        <w:rPr>
          <w:rFonts w:ascii="Times New Roman" w:eastAsia="Times New Roman" w:hAnsi="Times New Roman" w:cs="Times New Roman"/>
          <w:sz w:val="24"/>
          <w:szCs w:val="24"/>
          <w:lang w:eastAsia="it-IT"/>
        </w:rPr>
        <w:t xml:space="preserve">l’unica costruzione giuridicamente coerente con la </w:t>
      </w:r>
      <w:r w:rsidR="00706AF4" w:rsidRPr="00706AF4">
        <w:rPr>
          <w:rFonts w:ascii="Times New Roman" w:eastAsia="Times New Roman" w:hAnsi="Times New Roman" w:cs="Times New Roman"/>
          <w:i/>
          <w:sz w:val="24"/>
          <w:szCs w:val="24"/>
          <w:lang w:eastAsia="it-IT"/>
        </w:rPr>
        <w:t xml:space="preserve">ratio </w:t>
      </w:r>
      <w:r w:rsidR="00706AF4">
        <w:rPr>
          <w:rFonts w:ascii="Times New Roman" w:eastAsia="Times New Roman" w:hAnsi="Times New Roman" w:cs="Times New Roman"/>
          <w:sz w:val="24"/>
          <w:szCs w:val="24"/>
          <w:lang w:eastAsia="it-IT"/>
        </w:rPr>
        <w:t>legislativa, nonché rispettosa dei principi garantistici che i</w:t>
      </w:r>
      <w:r w:rsidR="004A6E5F">
        <w:rPr>
          <w:rFonts w:ascii="Times New Roman" w:eastAsia="Times New Roman" w:hAnsi="Times New Roman" w:cs="Times New Roman"/>
          <w:sz w:val="24"/>
          <w:szCs w:val="24"/>
          <w:lang w:eastAsia="it-IT"/>
        </w:rPr>
        <w:t>n</w:t>
      </w:r>
      <w:r w:rsidR="00706AF4">
        <w:rPr>
          <w:rFonts w:ascii="Times New Roman" w:eastAsia="Times New Roman" w:hAnsi="Times New Roman" w:cs="Times New Roman"/>
          <w:sz w:val="24"/>
          <w:szCs w:val="24"/>
          <w:lang w:eastAsia="it-IT"/>
        </w:rPr>
        <w:t xml:space="preserve">formano il nostro ordinamento e che vietano, tra l’altro,  l’applicazione analogica di sanzioni a fattispecie non previste dal legislatore, è solamente la teoria della nullità </w:t>
      </w:r>
      <w:r w:rsidR="00706AF4" w:rsidRPr="00706AF4">
        <w:rPr>
          <w:rFonts w:ascii="Times New Roman" w:eastAsia="Times New Roman" w:hAnsi="Times New Roman" w:cs="Times New Roman"/>
          <w:i/>
          <w:sz w:val="24"/>
          <w:szCs w:val="24"/>
          <w:lang w:eastAsia="it-IT"/>
        </w:rPr>
        <w:t>“formale”.</w:t>
      </w:r>
      <w:r w:rsidR="00706AF4">
        <w:rPr>
          <w:rFonts w:ascii="Times New Roman" w:eastAsia="Times New Roman" w:hAnsi="Times New Roman" w:cs="Times New Roman"/>
          <w:i/>
          <w:sz w:val="24"/>
          <w:szCs w:val="24"/>
          <w:lang w:eastAsia="it-IT"/>
        </w:rPr>
        <w:t xml:space="preserve"> </w:t>
      </w:r>
      <w:r w:rsidR="00DB7BF6">
        <w:rPr>
          <w:rFonts w:ascii="Times New Roman" w:eastAsia="Times New Roman" w:hAnsi="Times New Roman" w:cs="Times New Roman"/>
          <w:sz w:val="24"/>
          <w:szCs w:val="24"/>
          <w:lang w:eastAsia="it-IT"/>
        </w:rPr>
        <w:t>A ben vedere</w:t>
      </w:r>
      <w:r w:rsidR="00706AF4">
        <w:rPr>
          <w:rFonts w:ascii="Times New Roman" w:eastAsia="Times New Roman" w:hAnsi="Times New Roman" w:cs="Times New Roman"/>
          <w:sz w:val="24"/>
          <w:szCs w:val="24"/>
          <w:lang w:eastAsia="it-IT"/>
        </w:rPr>
        <w:t>, infatti,</w:t>
      </w:r>
      <w:r w:rsidR="00DB7BF6">
        <w:rPr>
          <w:rFonts w:ascii="Times New Roman" w:eastAsia="Times New Roman" w:hAnsi="Times New Roman" w:cs="Times New Roman"/>
          <w:sz w:val="24"/>
          <w:szCs w:val="24"/>
          <w:lang w:eastAsia="it-IT"/>
        </w:rPr>
        <w:t xml:space="preserve"> la problematica cambia connotati a seconda della prospettiva dalla quale si ci approccia</w:t>
      </w:r>
      <w:r w:rsidR="004A6E5F">
        <w:rPr>
          <w:rFonts w:ascii="Times New Roman" w:eastAsia="Times New Roman" w:hAnsi="Times New Roman" w:cs="Times New Roman"/>
          <w:sz w:val="24"/>
          <w:szCs w:val="24"/>
          <w:lang w:eastAsia="it-IT"/>
        </w:rPr>
        <w:t xml:space="preserve"> alla stessa</w:t>
      </w:r>
      <w:r w:rsidR="00766147">
        <w:rPr>
          <w:rFonts w:ascii="Times New Roman" w:eastAsia="Times New Roman" w:hAnsi="Times New Roman" w:cs="Times New Roman"/>
          <w:sz w:val="24"/>
          <w:szCs w:val="24"/>
          <w:lang w:eastAsia="it-IT"/>
        </w:rPr>
        <w:t>,</w:t>
      </w:r>
      <w:r w:rsidR="00DB7BF6">
        <w:rPr>
          <w:rFonts w:ascii="Times New Roman" w:eastAsia="Times New Roman" w:hAnsi="Times New Roman" w:cs="Times New Roman"/>
          <w:sz w:val="24"/>
          <w:szCs w:val="24"/>
          <w:lang w:eastAsia="it-IT"/>
        </w:rPr>
        <w:t xml:space="preserve"> </w:t>
      </w:r>
      <w:r w:rsidR="00766147">
        <w:rPr>
          <w:rFonts w:ascii="Times New Roman" w:eastAsia="Times New Roman" w:hAnsi="Times New Roman" w:cs="Times New Roman"/>
          <w:sz w:val="24"/>
          <w:szCs w:val="24"/>
          <w:lang w:eastAsia="it-IT"/>
        </w:rPr>
        <w:t xml:space="preserve">essendo </w:t>
      </w:r>
      <w:r w:rsidR="00590239" w:rsidRPr="00706AF4">
        <w:rPr>
          <w:rFonts w:ascii="Times New Roman" w:eastAsia="Times New Roman" w:hAnsi="Times New Roman" w:cs="Times New Roman"/>
          <w:i/>
          <w:sz w:val="24"/>
          <w:szCs w:val="24"/>
          <w:lang w:eastAsia="it-IT"/>
        </w:rPr>
        <w:t>“</w:t>
      </w:r>
      <w:r w:rsidR="00766147" w:rsidRPr="00706AF4">
        <w:rPr>
          <w:rFonts w:ascii="Times New Roman" w:eastAsia="Times New Roman" w:hAnsi="Times New Roman" w:cs="Times New Roman"/>
          <w:i/>
          <w:sz w:val="24"/>
          <w:szCs w:val="24"/>
          <w:lang w:eastAsia="it-IT"/>
        </w:rPr>
        <w:t>l’o</w:t>
      </w:r>
      <w:r w:rsidR="00590239" w:rsidRPr="00706AF4">
        <w:rPr>
          <w:rFonts w:ascii="Times New Roman" w:eastAsia="Times New Roman" w:hAnsi="Times New Roman" w:cs="Times New Roman"/>
          <w:i/>
          <w:sz w:val="24"/>
          <w:szCs w:val="24"/>
          <w:lang w:eastAsia="it-IT"/>
        </w:rPr>
        <w:t xml:space="preserve">sservatore </w:t>
      </w:r>
      <w:r w:rsidR="00766147" w:rsidRPr="00706AF4">
        <w:rPr>
          <w:rFonts w:ascii="Times New Roman" w:eastAsia="Times New Roman" w:hAnsi="Times New Roman" w:cs="Times New Roman"/>
          <w:i/>
          <w:sz w:val="24"/>
          <w:szCs w:val="24"/>
          <w:lang w:eastAsia="it-IT"/>
        </w:rPr>
        <w:t xml:space="preserve">a </w:t>
      </w:r>
      <w:r w:rsidR="00590239" w:rsidRPr="00706AF4">
        <w:rPr>
          <w:rFonts w:ascii="Times New Roman" w:eastAsia="Times New Roman" w:hAnsi="Times New Roman" w:cs="Times New Roman"/>
          <w:i/>
          <w:sz w:val="24"/>
          <w:szCs w:val="24"/>
          <w:lang w:eastAsia="it-IT"/>
        </w:rPr>
        <w:t>determina</w:t>
      </w:r>
      <w:r w:rsidR="00766147" w:rsidRPr="00706AF4">
        <w:rPr>
          <w:rFonts w:ascii="Times New Roman" w:eastAsia="Times New Roman" w:hAnsi="Times New Roman" w:cs="Times New Roman"/>
          <w:i/>
          <w:sz w:val="24"/>
          <w:szCs w:val="24"/>
          <w:lang w:eastAsia="it-IT"/>
        </w:rPr>
        <w:t>re</w:t>
      </w:r>
      <w:r w:rsidR="00590239" w:rsidRPr="00706AF4">
        <w:rPr>
          <w:rFonts w:ascii="Times New Roman" w:eastAsia="Times New Roman" w:hAnsi="Times New Roman" w:cs="Times New Roman"/>
          <w:i/>
          <w:sz w:val="24"/>
          <w:szCs w:val="24"/>
          <w:lang w:eastAsia="it-IT"/>
        </w:rPr>
        <w:t xml:space="preserve"> </w:t>
      </w:r>
      <w:r w:rsidR="00766147" w:rsidRPr="00706AF4">
        <w:rPr>
          <w:rFonts w:ascii="Times New Roman" w:eastAsia="Times New Roman" w:hAnsi="Times New Roman" w:cs="Times New Roman"/>
          <w:i/>
          <w:sz w:val="24"/>
          <w:szCs w:val="24"/>
          <w:lang w:eastAsia="it-IT"/>
        </w:rPr>
        <w:t>l’</w:t>
      </w:r>
      <w:r w:rsidR="00590239" w:rsidRPr="00706AF4">
        <w:rPr>
          <w:rFonts w:ascii="Times New Roman" w:eastAsia="Times New Roman" w:hAnsi="Times New Roman" w:cs="Times New Roman"/>
          <w:i/>
          <w:sz w:val="24"/>
          <w:szCs w:val="24"/>
          <w:lang w:eastAsia="it-IT"/>
        </w:rPr>
        <w:t>osservato”.</w:t>
      </w:r>
      <w:r w:rsidR="00590239" w:rsidRPr="00590239">
        <w:rPr>
          <w:rFonts w:ascii="Times New Roman" w:eastAsia="Times New Roman" w:hAnsi="Times New Roman" w:cs="Times New Roman"/>
          <w:sz w:val="24"/>
          <w:szCs w:val="24"/>
          <w:lang w:eastAsia="it-IT"/>
        </w:rPr>
        <w:t xml:space="preserve"> </w:t>
      </w:r>
      <w:r w:rsidR="002E764B">
        <w:rPr>
          <w:rFonts w:ascii="Times New Roman" w:eastAsia="Times New Roman" w:hAnsi="Times New Roman" w:cs="Times New Roman"/>
          <w:sz w:val="24"/>
          <w:szCs w:val="24"/>
          <w:lang w:eastAsia="it-IT"/>
        </w:rPr>
        <w:t xml:space="preserve">In ragione di questa consapevolezza, occorre depurare la questione giuridica da tutte quelle contaminazioni pratiche che inevitabilmente </w:t>
      </w:r>
      <w:r w:rsidR="002E764B" w:rsidRPr="00706AF4">
        <w:rPr>
          <w:rFonts w:ascii="Times New Roman" w:eastAsia="Times New Roman" w:hAnsi="Times New Roman" w:cs="Times New Roman"/>
          <w:i/>
          <w:sz w:val="24"/>
          <w:szCs w:val="24"/>
          <w:lang w:eastAsia="it-IT"/>
        </w:rPr>
        <w:t>“sporcano”</w:t>
      </w:r>
      <w:r w:rsidR="002E764B">
        <w:rPr>
          <w:rFonts w:ascii="Times New Roman" w:eastAsia="Times New Roman" w:hAnsi="Times New Roman" w:cs="Times New Roman"/>
          <w:sz w:val="24"/>
          <w:szCs w:val="24"/>
          <w:lang w:eastAsia="it-IT"/>
        </w:rPr>
        <w:t xml:space="preserve"> un approccio</w:t>
      </w:r>
      <w:r w:rsidR="00E24E74">
        <w:rPr>
          <w:rFonts w:ascii="Times New Roman" w:eastAsia="Times New Roman" w:hAnsi="Times New Roman" w:cs="Times New Roman"/>
          <w:sz w:val="24"/>
          <w:szCs w:val="24"/>
          <w:lang w:eastAsia="it-IT"/>
        </w:rPr>
        <w:t xml:space="preserve"> squisitamente</w:t>
      </w:r>
      <w:r w:rsidR="002E764B">
        <w:rPr>
          <w:rFonts w:ascii="Times New Roman" w:eastAsia="Times New Roman" w:hAnsi="Times New Roman" w:cs="Times New Roman"/>
          <w:sz w:val="24"/>
          <w:szCs w:val="24"/>
          <w:lang w:eastAsia="it-IT"/>
        </w:rPr>
        <w:t xml:space="preserve"> giuridic</w:t>
      </w:r>
      <w:r w:rsidR="005D4731">
        <w:rPr>
          <w:rFonts w:ascii="Times New Roman" w:eastAsia="Times New Roman" w:hAnsi="Times New Roman" w:cs="Times New Roman"/>
          <w:sz w:val="24"/>
          <w:szCs w:val="24"/>
          <w:lang w:eastAsia="it-IT"/>
        </w:rPr>
        <w:t>o</w:t>
      </w:r>
      <w:r w:rsidR="002E764B">
        <w:rPr>
          <w:rFonts w:ascii="Times New Roman" w:eastAsia="Times New Roman" w:hAnsi="Times New Roman" w:cs="Times New Roman"/>
          <w:sz w:val="24"/>
          <w:szCs w:val="24"/>
          <w:lang w:eastAsia="it-IT"/>
        </w:rPr>
        <w:t xml:space="preserve">. </w:t>
      </w:r>
      <w:r w:rsidR="00766147">
        <w:rPr>
          <w:rFonts w:ascii="Times New Roman" w:eastAsia="Times New Roman" w:hAnsi="Times New Roman" w:cs="Times New Roman"/>
          <w:sz w:val="24"/>
          <w:szCs w:val="24"/>
          <w:lang w:eastAsia="it-IT"/>
        </w:rPr>
        <w:t xml:space="preserve">Difatti, </w:t>
      </w:r>
      <w:r w:rsidR="002E764B">
        <w:rPr>
          <w:rFonts w:ascii="Times New Roman" w:eastAsia="Times New Roman" w:hAnsi="Times New Roman" w:cs="Times New Roman"/>
          <w:sz w:val="24"/>
          <w:szCs w:val="24"/>
          <w:lang w:eastAsia="it-IT"/>
        </w:rPr>
        <w:t xml:space="preserve">sempre più spesso assistiamo ad uno svilimento del diritto civile piegato a ragioni pubblicistiche di cui non è, e non può essere, espressione. L’idea della natura sostanziale della nullità urbanistica, oltreché frutto di una </w:t>
      </w:r>
      <w:r w:rsidR="00706AF4">
        <w:rPr>
          <w:rFonts w:ascii="Times New Roman" w:eastAsia="Times New Roman" w:hAnsi="Times New Roman" w:cs="Times New Roman"/>
          <w:sz w:val="24"/>
          <w:szCs w:val="24"/>
          <w:lang w:eastAsia="it-IT"/>
        </w:rPr>
        <w:t xml:space="preserve">illegittima </w:t>
      </w:r>
      <w:r w:rsidR="002E764B">
        <w:rPr>
          <w:rFonts w:ascii="Times New Roman" w:eastAsia="Times New Roman" w:hAnsi="Times New Roman" w:cs="Times New Roman"/>
          <w:sz w:val="24"/>
          <w:szCs w:val="24"/>
          <w:lang w:eastAsia="it-IT"/>
        </w:rPr>
        <w:t>superfetazione</w:t>
      </w:r>
      <w:r w:rsidR="00706AF4">
        <w:rPr>
          <w:rFonts w:ascii="Times New Roman" w:eastAsia="Times New Roman" w:hAnsi="Times New Roman" w:cs="Times New Roman"/>
          <w:sz w:val="24"/>
          <w:szCs w:val="24"/>
          <w:lang w:eastAsia="it-IT"/>
        </w:rPr>
        <w:t xml:space="preserve"> interpretativa</w:t>
      </w:r>
      <w:r w:rsidR="002E764B">
        <w:rPr>
          <w:rFonts w:ascii="Times New Roman" w:eastAsia="Times New Roman" w:hAnsi="Times New Roman" w:cs="Times New Roman"/>
          <w:sz w:val="24"/>
          <w:szCs w:val="24"/>
          <w:lang w:eastAsia="it-IT"/>
        </w:rPr>
        <w:t>, è emblematica d</w:t>
      </w:r>
      <w:r w:rsidR="00F07334">
        <w:rPr>
          <w:rFonts w:ascii="Times New Roman" w:eastAsia="Times New Roman" w:hAnsi="Times New Roman" w:cs="Times New Roman"/>
          <w:sz w:val="24"/>
          <w:szCs w:val="24"/>
          <w:lang w:eastAsia="it-IT"/>
        </w:rPr>
        <w:t>i questo</w:t>
      </w:r>
      <w:r w:rsidR="002E764B">
        <w:rPr>
          <w:rFonts w:ascii="Times New Roman" w:eastAsia="Times New Roman" w:hAnsi="Times New Roman" w:cs="Times New Roman"/>
          <w:sz w:val="24"/>
          <w:szCs w:val="24"/>
          <w:lang w:eastAsia="it-IT"/>
        </w:rPr>
        <w:t xml:space="preserve"> tentativo di strumentalizza</w:t>
      </w:r>
      <w:r w:rsidR="00F07334">
        <w:rPr>
          <w:rFonts w:ascii="Times New Roman" w:eastAsia="Times New Roman" w:hAnsi="Times New Roman" w:cs="Times New Roman"/>
          <w:sz w:val="24"/>
          <w:szCs w:val="24"/>
          <w:lang w:eastAsia="it-IT"/>
        </w:rPr>
        <w:t xml:space="preserve">zione dello </w:t>
      </w:r>
      <w:proofErr w:type="spellStart"/>
      <w:r w:rsidR="00E24E74" w:rsidRPr="00E24E74">
        <w:rPr>
          <w:rFonts w:ascii="Times New Roman" w:eastAsia="Times New Roman" w:hAnsi="Times New Roman" w:cs="Times New Roman"/>
          <w:i/>
          <w:sz w:val="24"/>
          <w:szCs w:val="24"/>
          <w:lang w:eastAsia="it-IT"/>
        </w:rPr>
        <w:t>ius</w:t>
      </w:r>
      <w:proofErr w:type="spellEnd"/>
      <w:r w:rsidR="00E24E74" w:rsidRPr="00E24E74">
        <w:rPr>
          <w:rFonts w:ascii="Times New Roman" w:eastAsia="Times New Roman" w:hAnsi="Times New Roman" w:cs="Times New Roman"/>
          <w:i/>
          <w:sz w:val="24"/>
          <w:szCs w:val="24"/>
          <w:lang w:eastAsia="it-IT"/>
        </w:rPr>
        <w:t xml:space="preserve"> </w:t>
      </w:r>
      <w:proofErr w:type="spellStart"/>
      <w:r w:rsidR="00E24E74" w:rsidRPr="00E24E74">
        <w:rPr>
          <w:rFonts w:ascii="Times New Roman" w:eastAsia="Times New Roman" w:hAnsi="Times New Roman" w:cs="Times New Roman"/>
          <w:i/>
          <w:sz w:val="24"/>
          <w:szCs w:val="24"/>
          <w:lang w:eastAsia="it-IT"/>
        </w:rPr>
        <w:t>privatum</w:t>
      </w:r>
      <w:proofErr w:type="spellEnd"/>
      <w:r w:rsidR="002E764B">
        <w:rPr>
          <w:rFonts w:ascii="Times New Roman" w:eastAsia="Times New Roman" w:hAnsi="Times New Roman" w:cs="Times New Roman"/>
          <w:sz w:val="24"/>
          <w:szCs w:val="24"/>
          <w:lang w:eastAsia="it-IT"/>
        </w:rPr>
        <w:t xml:space="preserve"> per il perseguimento di finalità </w:t>
      </w:r>
      <w:r w:rsidR="00D57569">
        <w:rPr>
          <w:rFonts w:ascii="Times New Roman" w:eastAsia="Times New Roman" w:hAnsi="Times New Roman" w:cs="Times New Roman"/>
          <w:sz w:val="24"/>
          <w:szCs w:val="24"/>
          <w:lang w:eastAsia="it-IT"/>
        </w:rPr>
        <w:t>di gestione</w:t>
      </w:r>
      <w:r w:rsidR="002E764B">
        <w:rPr>
          <w:rFonts w:ascii="Times New Roman" w:eastAsia="Times New Roman" w:hAnsi="Times New Roman" w:cs="Times New Roman"/>
          <w:sz w:val="24"/>
          <w:szCs w:val="24"/>
          <w:lang w:eastAsia="it-IT"/>
        </w:rPr>
        <w:t xml:space="preserve"> del territorio </w:t>
      </w:r>
      <w:r w:rsidR="00F07334">
        <w:rPr>
          <w:rFonts w:ascii="Times New Roman" w:eastAsia="Times New Roman" w:hAnsi="Times New Roman" w:cs="Times New Roman"/>
          <w:sz w:val="24"/>
          <w:szCs w:val="24"/>
          <w:lang w:eastAsia="it-IT"/>
        </w:rPr>
        <w:t>di chiara matrice pubblicistica</w:t>
      </w:r>
      <w:r w:rsidR="002E764B">
        <w:rPr>
          <w:rFonts w:ascii="Times New Roman" w:eastAsia="Times New Roman" w:hAnsi="Times New Roman" w:cs="Times New Roman"/>
          <w:sz w:val="24"/>
          <w:szCs w:val="24"/>
          <w:lang w:eastAsia="it-IT"/>
        </w:rPr>
        <w:t xml:space="preserve">. </w:t>
      </w:r>
      <w:r w:rsidR="00D57569">
        <w:rPr>
          <w:rFonts w:ascii="Times New Roman" w:eastAsia="Times New Roman" w:hAnsi="Times New Roman" w:cs="Times New Roman"/>
          <w:sz w:val="24"/>
          <w:szCs w:val="24"/>
          <w:lang w:eastAsia="it-IT"/>
        </w:rPr>
        <w:t>Si rende necessario</w:t>
      </w:r>
      <w:r w:rsidR="00C96FB0">
        <w:rPr>
          <w:rFonts w:ascii="Times New Roman" w:eastAsia="Times New Roman" w:hAnsi="Times New Roman" w:cs="Times New Roman"/>
          <w:sz w:val="24"/>
          <w:szCs w:val="24"/>
          <w:lang w:eastAsia="it-IT"/>
        </w:rPr>
        <w:t>, allora,</w:t>
      </w:r>
      <w:r w:rsidR="00F07334">
        <w:rPr>
          <w:rFonts w:ascii="Times New Roman" w:eastAsia="Times New Roman" w:hAnsi="Times New Roman" w:cs="Times New Roman"/>
          <w:sz w:val="24"/>
          <w:szCs w:val="24"/>
          <w:lang w:eastAsia="it-IT"/>
        </w:rPr>
        <w:t xml:space="preserve"> depotenziare l’idea che il legislatore abbia inteso dichiarare guerra serrata all’abusivismo edilizio. Difatti, se così fosse stato</w:t>
      </w:r>
      <w:r w:rsidR="00C96FB0">
        <w:rPr>
          <w:rFonts w:ascii="Times New Roman" w:eastAsia="Times New Roman" w:hAnsi="Times New Roman" w:cs="Times New Roman"/>
          <w:sz w:val="24"/>
          <w:szCs w:val="24"/>
          <w:lang w:eastAsia="it-IT"/>
        </w:rPr>
        <w:t>,</w:t>
      </w:r>
      <w:r w:rsidR="00F07334">
        <w:rPr>
          <w:rFonts w:ascii="Times New Roman" w:eastAsia="Times New Roman" w:hAnsi="Times New Roman" w:cs="Times New Roman"/>
          <w:sz w:val="24"/>
          <w:szCs w:val="24"/>
          <w:lang w:eastAsia="it-IT"/>
        </w:rPr>
        <w:t xml:space="preserve"> la normativa in esame</w:t>
      </w:r>
      <w:r w:rsidR="00C96FB0">
        <w:rPr>
          <w:rFonts w:ascii="Times New Roman" w:eastAsia="Times New Roman" w:hAnsi="Times New Roman" w:cs="Times New Roman"/>
          <w:sz w:val="24"/>
          <w:szCs w:val="24"/>
          <w:lang w:eastAsia="it-IT"/>
        </w:rPr>
        <w:t>,</w:t>
      </w:r>
      <w:r w:rsidR="00F07334">
        <w:rPr>
          <w:rFonts w:ascii="Times New Roman" w:eastAsia="Times New Roman" w:hAnsi="Times New Roman" w:cs="Times New Roman"/>
          <w:sz w:val="24"/>
          <w:szCs w:val="24"/>
          <w:lang w:eastAsia="it-IT"/>
        </w:rPr>
        <w:t xml:space="preserve"> non avrebbe dovuto consentire la</w:t>
      </w:r>
      <w:r w:rsidR="002E764B">
        <w:rPr>
          <w:rFonts w:ascii="Times New Roman" w:eastAsia="Times New Roman" w:hAnsi="Times New Roman" w:cs="Times New Roman"/>
          <w:sz w:val="24"/>
          <w:szCs w:val="24"/>
          <w:lang w:eastAsia="it-IT"/>
        </w:rPr>
        <w:t xml:space="preserve"> commerciabilità di beni abusivi </w:t>
      </w:r>
      <w:r w:rsidR="00C96FB0">
        <w:rPr>
          <w:rFonts w:ascii="Times New Roman" w:eastAsia="Times New Roman" w:hAnsi="Times New Roman" w:cs="Times New Roman"/>
          <w:sz w:val="24"/>
          <w:szCs w:val="24"/>
          <w:lang w:eastAsia="it-IT"/>
        </w:rPr>
        <w:t>allorquando siano oggetto</w:t>
      </w:r>
      <w:r w:rsidR="002E764B">
        <w:rPr>
          <w:rFonts w:ascii="Times New Roman" w:eastAsia="Times New Roman" w:hAnsi="Times New Roman" w:cs="Times New Roman"/>
          <w:sz w:val="24"/>
          <w:szCs w:val="24"/>
          <w:lang w:eastAsia="it-IT"/>
        </w:rPr>
        <w:t xml:space="preserve"> di</w:t>
      </w:r>
      <w:r w:rsidR="00C96FB0">
        <w:rPr>
          <w:rFonts w:ascii="Times New Roman" w:eastAsia="Times New Roman" w:hAnsi="Times New Roman" w:cs="Times New Roman"/>
          <w:sz w:val="24"/>
          <w:szCs w:val="24"/>
          <w:lang w:eastAsia="it-IT"/>
        </w:rPr>
        <w:t xml:space="preserve"> atti di</w:t>
      </w:r>
      <w:r w:rsidR="002E764B">
        <w:rPr>
          <w:rFonts w:ascii="Times New Roman" w:eastAsia="Times New Roman" w:hAnsi="Times New Roman" w:cs="Times New Roman"/>
          <w:sz w:val="24"/>
          <w:szCs w:val="24"/>
          <w:lang w:eastAsia="it-IT"/>
        </w:rPr>
        <w:t xml:space="preserve"> trasferimento </w:t>
      </w:r>
      <w:proofErr w:type="spellStart"/>
      <w:r w:rsidR="002E764B" w:rsidRPr="00F07334">
        <w:rPr>
          <w:rFonts w:ascii="Times New Roman" w:eastAsia="Times New Roman" w:hAnsi="Times New Roman" w:cs="Times New Roman"/>
          <w:i/>
          <w:sz w:val="24"/>
          <w:szCs w:val="24"/>
          <w:lang w:eastAsia="it-IT"/>
        </w:rPr>
        <w:t>mortis</w:t>
      </w:r>
      <w:proofErr w:type="spellEnd"/>
      <w:r w:rsidR="002E764B" w:rsidRPr="00F07334">
        <w:rPr>
          <w:rFonts w:ascii="Times New Roman" w:eastAsia="Times New Roman" w:hAnsi="Times New Roman" w:cs="Times New Roman"/>
          <w:i/>
          <w:sz w:val="24"/>
          <w:szCs w:val="24"/>
          <w:lang w:eastAsia="it-IT"/>
        </w:rPr>
        <w:t xml:space="preserve"> causa</w:t>
      </w:r>
      <w:r w:rsidR="002E764B">
        <w:rPr>
          <w:rFonts w:ascii="Times New Roman" w:eastAsia="Times New Roman" w:hAnsi="Times New Roman" w:cs="Times New Roman"/>
          <w:sz w:val="24"/>
          <w:szCs w:val="24"/>
          <w:lang w:eastAsia="it-IT"/>
        </w:rPr>
        <w:t xml:space="preserve"> o </w:t>
      </w:r>
      <w:r w:rsidR="00C96FB0">
        <w:rPr>
          <w:rFonts w:ascii="Times New Roman" w:eastAsia="Times New Roman" w:hAnsi="Times New Roman" w:cs="Times New Roman"/>
          <w:sz w:val="24"/>
          <w:szCs w:val="24"/>
          <w:lang w:eastAsia="it-IT"/>
        </w:rPr>
        <w:t xml:space="preserve">siano </w:t>
      </w:r>
      <w:r w:rsidR="00F07334">
        <w:rPr>
          <w:rFonts w:ascii="Times New Roman" w:eastAsia="Times New Roman" w:hAnsi="Times New Roman" w:cs="Times New Roman"/>
          <w:sz w:val="24"/>
          <w:szCs w:val="24"/>
          <w:lang w:eastAsia="it-IT"/>
        </w:rPr>
        <w:t>oggetto di</w:t>
      </w:r>
      <w:r w:rsidR="00C96FB0">
        <w:rPr>
          <w:rFonts w:ascii="Times New Roman" w:eastAsia="Times New Roman" w:hAnsi="Times New Roman" w:cs="Times New Roman"/>
          <w:sz w:val="24"/>
          <w:szCs w:val="24"/>
          <w:lang w:eastAsia="it-IT"/>
        </w:rPr>
        <w:t xml:space="preserve"> costituzione di</w:t>
      </w:r>
      <w:r w:rsidR="00F07334">
        <w:rPr>
          <w:rFonts w:ascii="Times New Roman" w:eastAsia="Times New Roman" w:hAnsi="Times New Roman" w:cs="Times New Roman"/>
          <w:sz w:val="24"/>
          <w:szCs w:val="24"/>
          <w:lang w:eastAsia="it-IT"/>
        </w:rPr>
        <w:t xml:space="preserve"> diritti reali di garanzia o servitù. Orbene, </w:t>
      </w:r>
      <w:r w:rsidR="00E24E74">
        <w:rPr>
          <w:rFonts w:ascii="Times New Roman" w:eastAsia="Times New Roman" w:hAnsi="Times New Roman" w:cs="Times New Roman"/>
          <w:sz w:val="24"/>
          <w:szCs w:val="24"/>
          <w:lang w:eastAsia="it-IT"/>
        </w:rPr>
        <w:t xml:space="preserve">acclarato che la nullità sostanziale è frutto più di una forzatura </w:t>
      </w:r>
      <w:r w:rsidR="00320E71">
        <w:rPr>
          <w:rFonts w:ascii="Times New Roman" w:eastAsia="Times New Roman" w:hAnsi="Times New Roman" w:cs="Times New Roman"/>
          <w:sz w:val="24"/>
          <w:szCs w:val="24"/>
          <w:lang w:eastAsia="it-IT"/>
        </w:rPr>
        <w:t>ermeneutica</w:t>
      </w:r>
      <w:r w:rsidR="00C96FB0">
        <w:rPr>
          <w:rFonts w:ascii="Times New Roman" w:eastAsia="Times New Roman" w:hAnsi="Times New Roman" w:cs="Times New Roman"/>
          <w:sz w:val="24"/>
          <w:szCs w:val="24"/>
          <w:lang w:eastAsia="it-IT"/>
        </w:rPr>
        <w:t xml:space="preserve"> -</w:t>
      </w:r>
      <w:r w:rsidR="00320E71">
        <w:rPr>
          <w:rFonts w:ascii="Times New Roman" w:eastAsia="Times New Roman" w:hAnsi="Times New Roman" w:cs="Times New Roman"/>
          <w:sz w:val="24"/>
          <w:szCs w:val="24"/>
          <w:lang w:eastAsia="it-IT"/>
        </w:rPr>
        <w:t xml:space="preserve"> teleologicamente orientata al perseguimento di finalità </w:t>
      </w:r>
      <w:r w:rsidR="00320E71">
        <w:rPr>
          <w:rFonts w:ascii="Times New Roman" w:eastAsia="Times New Roman" w:hAnsi="Times New Roman" w:cs="Times New Roman"/>
          <w:sz w:val="24"/>
          <w:szCs w:val="24"/>
          <w:lang w:eastAsia="it-IT"/>
        </w:rPr>
        <w:lastRenderedPageBreak/>
        <w:t>pubblicistiche</w:t>
      </w:r>
      <w:r w:rsidR="00C96FB0">
        <w:rPr>
          <w:rFonts w:ascii="Times New Roman" w:eastAsia="Times New Roman" w:hAnsi="Times New Roman" w:cs="Times New Roman"/>
          <w:sz w:val="24"/>
          <w:szCs w:val="24"/>
          <w:lang w:eastAsia="it-IT"/>
        </w:rPr>
        <w:t xml:space="preserve"> -</w:t>
      </w:r>
      <w:r w:rsidR="00320E71">
        <w:rPr>
          <w:rFonts w:ascii="Times New Roman" w:eastAsia="Times New Roman" w:hAnsi="Times New Roman" w:cs="Times New Roman"/>
          <w:sz w:val="24"/>
          <w:szCs w:val="24"/>
          <w:lang w:eastAsia="it-IT"/>
        </w:rPr>
        <w:t xml:space="preserve"> piuttosto che di un effettivo riscontro normativo, </w:t>
      </w:r>
      <w:r w:rsidR="00F07334">
        <w:rPr>
          <w:rFonts w:ascii="Times New Roman" w:eastAsia="Times New Roman" w:hAnsi="Times New Roman" w:cs="Times New Roman"/>
          <w:sz w:val="24"/>
          <w:szCs w:val="24"/>
          <w:lang w:eastAsia="it-IT"/>
        </w:rPr>
        <w:t>occorre esprimere ulteriori considerazioni a sostegno del rifiuto della tesi sostanzialistica</w:t>
      </w:r>
      <w:r w:rsidR="00320E71">
        <w:rPr>
          <w:rFonts w:ascii="Times New Roman" w:eastAsia="Times New Roman" w:hAnsi="Times New Roman" w:cs="Times New Roman"/>
          <w:sz w:val="24"/>
          <w:szCs w:val="24"/>
          <w:lang w:eastAsia="it-IT"/>
        </w:rPr>
        <w:t xml:space="preserve">, questa volta di carattere </w:t>
      </w:r>
      <w:r w:rsidR="00C96FB0">
        <w:rPr>
          <w:rFonts w:ascii="Times New Roman" w:eastAsia="Times New Roman" w:hAnsi="Times New Roman" w:cs="Times New Roman"/>
          <w:sz w:val="24"/>
          <w:szCs w:val="24"/>
          <w:lang w:eastAsia="it-IT"/>
        </w:rPr>
        <w:t xml:space="preserve">eminentemente </w:t>
      </w:r>
      <w:r w:rsidR="00320E71">
        <w:rPr>
          <w:rFonts w:ascii="Times New Roman" w:eastAsia="Times New Roman" w:hAnsi="Times New Roman" w:cs="Times New Roman"/>
          <w:sz w:val="24"/>
          <w:szCs w:val="24"/>
          <w:lang w:eastAsia="it-IT"/>
        </w:rPr>
        <w:t>pratico</w:t>
      </w:r>
      <w:r w:rsidR="00935EAD">
        <w:rPr>
          <w:rFonts w:ascii="Times New Roman" w:eastAsia="Times New Roman" w:hAnsi="Times New Roman" w:cs="Times New Roman"/>
          <w:sz w:val="24"/>
          <w:szCs w:val="24"/>
          <w:lang w:eastAsia="it-IT"/>
        </w:rPr>
        <w:t xml:space="preserve">. Questa, infatti, </w:t>
      </w:r>
      <w:r w:rsidR="00513A41">
        <w:rPr>
          <w:rFonts w:ascii="Times New Roman" w:eastAsia="Times New Roman" w:hAnsi="Times New Roman" w:cs="Times New Roman"/>
          <w:sz w:val="24"/>
          <w:szCs w:val="24"/>
          <w:lang w:eastAsia="it-IT"/>
        </w:rPr>
        <w:t xml:space="preserve">risulterebbe anzitutto lesiva del principio di certezza del diritto, affidando a valutazioni opinabili degli uffici tecnici comunali la compatibilità degli immobili compravenduti allo strumento autorizzatorio, nonché </w:t>
      </w:r>
      <w:r w:rsidR="00935EAD">
        <w:rPr>
          <w:rFonts w:ascii="Times New Roman" w:eastAsia="Times New Roman" w:hAnsi="Times New Roman" w:cs="Times New Roman"/>
          <w:sz w:val="24"/>
          <w:szCs w:val="24"/>
          <w:lang w:eastAsia="it-IT"/>
        </w:rPr>
        <w:t>comporterebbe in capo al notaio, vera e propria vittima di una simile impostazione, un onere di accertamento in concreto della compatibilità del titolo concessorio con l’edificio realizzato che risulterebbe sproporzionat</w:t>
      </w:r>
      <w:r w:rsidR="004A6E5F">
        <w:rPr>
          <w:rFonts w:ascii="Times New Roman" w:eastAsia="Times New Roman" w:hAnsi="Times New Roman" w:cs="Times New Roman"/>
          <w:sz w:val="24"/>
          <w:szCs w:val="24"/>
          <w:lang w:eastAsia="it-IT"/>
        </w:rPr>
        <w:t>o</w:t>
      </w:r>
      <w:r w:rsidR="00935EAD">
        <w:rPr>
          <w:rFonts w:ascii="Times New Roman" w:eastAsia="Times New Roman" w:hAnsi="Times New Roman" w:cs="Times New Roman"/>
          <w:sz w:val="24"/>
          <w:szCs w:val="24"/>
          <w:lang w:eastAsia="it-IT"/>
        </w:rPr>
        <w:t>, in</w:t>
      </w:r>
      <w:r w:rsidR="005D4731">
        <w:rPr>
          <w:rFonts w:ascii="Times New Roman" w:eastAsia="Times New Roman" w:hAnsi="Times New Roman" w:cs="Times New Roman"/>
          <w:sz w:val="24"/>
          <w:szCs w:val="24"/>
          <w:lang w:eastAsia="it-IT"/>
        </w:rPr>
        <w:t>a</w:t>
      </w:r>
      <w:r w:rsidR="00935EAD">
        <w:rPr>
          <w:rFonts w:ascii="Times New Roman" w:eastAsia="Times New Roman" w:hAnsi="Times New Roman" w:cs="Times New Roman"/>
          <w:sz w:val="24"/>
          <w:szCs w:val="24"/>
          <w:lang w:eastAsia="it-IT"/>
        </w:rPr>
        <w:t>c</w:t>
      </w:r>
      <w:r w:rsidR="005D4731">
        <w:rPr>
          <w:rFonts w:ascii="Times New Roman" w:eastAsia="Times New Roman" w:hAnsi="Times New Roman" w:cs="Times New Roman"/>
          <w:sz w:val="24"/>
          <w:szCs w:val="24"/>
          <w:lang w:eastAsia="it-IT"/>
        </w:rPr>
        <w:t>c</w:t>
      </w:r>
      <w:r w:rsidR="00935EAD">
        <w:rPr>
          <w:rFonts w:ascii="Times New Roman" w:eastAsia="Times New Roman" w:hAnsi="Times New Roman" w:cs="Times New Roman"/>
          <w:sz w:val="24"/>
          <w:szCs w:val="24"/>
          <w:lang w:eastAsia="it-IT"/>
        </w:rPr>
        <w:t>ettabile e contrari</w:t>
      </w:r>
      <w:r w:rsidR="004A6E5F">
        <w:rPr>
          <w:rFonts w:ascii="Times New Roman" w:eastAsia="Times New Roman" w:hAnsi="Times New Roman" w:cs="Times New Roman"/>
          <w:sz w:val="24"/>
          <w:szCs w:val="24"/>
          <w:lang w:eastAsia="it-IT"/>
        </w:rPr>
        <w:t>o</w:t>
      </w:r>
      <w:r w:rsidR="00935EAD">
        <w:rPr>
          <w:rFonts w:ascii="Times New Roman" w:eastAsia="Times New Roman" w:hAnsi="Times New Roman" w:cs="Times New Roman"/>
          <w:sz w:val="24"/>
          <w:szCs w:val="24"/>
          <w:lang w:eastAsia="it-IT"/>
        </w:rPr>
        <w:t xml:space="preserve"> alle funzioni riconosciute allo stesso.</w:t>
      </w:r>
      <w:r w:rsidR="00C96FB0">
        <w:rPr>
          <w:rFonts w:ascii="Times New Roman" w:eastAsia="Times New Roman" w:hAnsi="Times New Roman" w:cs="Times New Roman"/>
          <w:sz w:val="24"/>
          <w:szCs w:val="24"/>
          <w:lang w:eastAsia="it-IT"/>
        </w:rPr>
        <w:t xml:space="preserve"> Inoltre, parrebbe che</w:t>
      </w:r>
      <w:r w:rsidR="004A6E5F">
        <w:rPr>
          <w:rFonts w:ascii="Times New Roman" w:eastAsia="Times New Roman" w:hAnsi="Times New Roman" w:cs="Times New Roman"/>
          <w:sz w:val="24"/>
          <w:szCs w:val="24"/>
          <w:lang w:eastAsia="it-IT"/>
        </w:rPr>
        <w:t xml:space="preserve"> una</w:t>
      </w:r>
      <w:r w:rsidR="00C96FB0">
        <w:rPr>
          <w:rFonts w:ascii="Times New Roman" w:eastAsia="Times New Roman" w:hAnsi="Times New Roman" w:cs="Times New Roman"/>
          <w:sz w:val="24"/>
          <w:szCs w:val="24"/>
          <w:lang w:eastAsia="it-IT"/>
        </w:rPr>
        <w:t xml:space="preserve"> simile impostazione possa risultare foriera di enormi pregiudizi per l’acquirente, che in buona fede ha fatto legittimo affidamento sulla regolarità della operazione compiuta. Ed infatti, oltre alle evidenti difficoltà di azionamento dei mezzi recuperatori del prezzo </w:t>
      </w:r>
      <w:r w:rsidR="00AB77F5">
        <w:rPr>
          <w:rFonts w:ascii="Times New Roman" w:eastAsia="Times New Roman" w:hAnsi="Times New Roman" w:cs="Times New Roman"/>
          <w:sz w:val="24"/>
          <w:szCs w:val="24"/>
          <w:lang w:eastAsia="it-IT"/>
        </w:rPr>
        <w:t xml:space="preserve">versato, l’acquirente in buona fede, qualora la stipulazione del contratto sia risalente nel tempo, rischierebbe di rimanere sfornito di tutela </w:t>
      </w:r>
      <w:r w:rsidR="00FB78E3">
        <w:rPr>
          <w:rFonts w:ascii="Times New Roman" w:eastAsia="Times New Roman" w:hAnsi="Times New Roman" w:cs="Times New Roman"/>
          <w:sz w:val="24"/>
          <w:szCs w:val="24"/>
          <w:lang w:eastAsia="it-IT"/>
        </w:rPr>
        <w:t xml:space="preserve">recuperatoria del prezzo versato </w:t>
      </w:r>
      <w:r w:rsidR="00AB77F5">
        <w:rPr>
          <w:rFonts w:ascii="Times New Roman" w:eastAsia="Times New Roman" w:hAnsi="Times New Roman" w:cs="Times New Roman"/>
          <w:sz w:val="24"/>
          <w:szCs w:val="24"/>
          <w:lang w:eastAsia="it-IT"/>
        </w:rPr>
        <w:t>in virtù dello spirare dei termini di prescrizione dell’azione</w:t>
      </w:r>
      <w:r w:rsidR="00FB78E3">
        <w:rPr>
          <w:rFonts w:ascii="Times New Roman" w:eastAsia="Times New Roman" w:hAnsi="Times New Roman" w:cs="Times New Roman"/>
          <w:sz w:val="24"/>
          <w:szCs w:val="24"/>
          <w:lang w:eastAsia="it-IT"/>
        </w:rPr>
        <w:t xml:space="preserve"> stessa</w:t>
      </w:r>
      <w:r w:rsidR="00AB77F5">
        <w:rPr>
          <w:rFonts w:ascii="Times New Roman" w:eastAsia="Times New Roman" w:hAnsi="Times New Roman" w:cs="Times New Roman"/>
          <w:sz w:val="24"/>
          <w:szCs w:val="24"/>
          <w:lang w:eastAsia="it-IT"/>
        </w:rPr>
        <w:t xml:space="preserve">. È noto, infatti, che la sentenza che accerta la nullità del regolamento contrattuale ha natura dichiarativa, come tale esplica i suoi effetti </w:t>
      </w:r>
      <w:r w:rsidR="00AB77F5" w:rsidRPr="00AB77F5">
        <w:rPr>
          <w:rFonts w:ascii="Times New Roman" w:eastAsia="Times New Roman" w:hAnsi="Times New Roman" w:cs="Times New Roman"/>
          <w:i/>
          <w:sz w:val="24"/>
          <w:szCs w:val="24"/>
          <w:lang w:eastAsia="it-IT"/>
        </w:rPr>
        <w:t xml:space="preserve">ex </w:t>
      </w:r>
      <w:proofErr w:type="spellStart"/>
      <w:r w:rsidR="00AB77F5" w:rsidRPr="00AB77F5">
        <w:rPr>
          <w:rFonts w:ascii="Times New Roman" w:eastAsia="Times New Roman" w:hAnsi="Times New Roman" w:cs="Times New Roman"/>
          <w:i/>
          <w:sz w:val="24"/>
          <w:szCs w:val="24"/>
          <w:lang w:eastAsia="it-IT"/>
        </w:rPr>
        <w:t>tunc</w:t>
      </w:r>
      <w:proofErr w:type="spellEnd"/>
      <w:r w:rsidR="00AB77F5">
        <w:rPr>
          <w:rFonts w:ascii="Times New Roman" w:eastAsia="Times New Roman" w:hAnsi="Times New Roman" w:cs="Times New Roman"/>
          <w:sz w:val="24"/>
          <w:szCs w:val="24"/>
          <w:lang w:eastAsia="it-IT"/>
        </w:rPr>
        <w:t>. Palese</w:t>
      </w:r>
      <w:r w:rsidR="00FB78E3">
        <w:rPr>
          <w:rFonts w:ascii="Times New Roman" w:eastAsia="Times New Roman" w:hAnsi="Times New Roman" w:cs="Times New Roman"/>
          <w:sz w:val="24"/>
          <w:szCs w:val="24"/>
          <w:lang w:eastAsia="it-IT"/>
        </w:rPr>
        <w:t>, allora,</w:t>
      </w:r>
      <w:r w:rsidR="00AB77F5">
        <w:rPr>
          <w:rFonts w:ascii="Times New Roman" w:eastAsia="Times New Roman" w:hAnsi="Times New Roman" w:cs="Times New Roman"/>
          <w:sz w:val="24"/>
          <w:szCs w:val="24"/>
          <w:lang w:eastAsia="it-IT"/>
        </w:rPr>
        <w:t xml:space="preserve"> risulta essere l’estrema ingiustizia del risultato pratico di una simile impostazione che danneggerebbe l’acquirente in buona fede a vantaggio dell’alienante che non solo in sede di stipulazione ha fornito dichiarazioni </w:t>
      </w:r>
      <w:r w:rsidR="00FB78E3">
        <w:rPr>
          <w:rFonts w:ascii="Times New Roman" w:eastAsia="Times New Roman" w:hAnsi="Times New Roman" w:cs="Times New Roman"/>
          <w:sz w:val="24"/>
          <w:szCs w:val="24"/>
          <w:lang w:eastAsia="it-IT"/>
        </w:rPr>
        <w:t>non veritiere,</w:t>
      </w:r>
      <w:r w:rsidR="00AB77F5">
        <w:rPr>
          <w:rFonts w:ascii="Times New Roman" w:eastAsia="Times New Roman" w:hAnsi="Times New Roman" w:cs="Times New Roman"/>
          <w:sz w:val="24"/>
          <w:szCs w:val="24"/>
          <w:lang w:eastAsia="it-IT"/>
        </w:rPr>
        <w:t xml:space="preserve"> ma che </w:t>
      </w:r>
      <w:r w:rsidR="00FB78E3">
        <w:rPr>
          <w:rFonts w:ascii="Times New Roman" w:eastAsia="Times New Roman" w:hAnsi="Times New Roman" w:cs="Times New Roman"/>
          <w:sz w:val="24"/>
          <w:szCs w:val="24"/>
          <w:lang w:eastAsia="it-IT"/>
        </w:rPr>
        <w:t>(</w:t>
      </w:r>
      <w:r w:rsidR="00AB77F5">
        <w:rPr>
          <w:rFonts w:ascii="Times New Roman" w:eastAsia="Times New Roman" w:hAnsi="Times New Roman" w:cs="Times New Roman"/>
          <w:sz w:val="24"/>
          <w:szCs w:val="24"/>
          <w:lang w:eastAsia="it-IT"/>
        </w:rPr>
        <w:t>verosimilmente</w:t>
      </w:r>
      <w:r w:rsidR="00FB78E3">
        <w:rPr>
          <w:rFonts w:ascii="Times New Roman" w:eastAsia="Times New Roman" w:hAnsi="Times New Roman" w:cs="Times New Roman"/>
          <w:sz w:val="24"/>
          <w:szCs w:val="24"/>
          <w:lang w:eastAsia="it-IT"/>
        </w:rPr>
        <w:t>)</w:t>
      </w:r>
      <w:r w:rsidR="00AB77F5">
        <w:rPr>
          <w:rFonts w:ascii="Times New Roman" w:eastAsia="Times New Roman" w:hAnsi="Times New Roman" w:cs="Times New Roman"/>
          <w:sz w:val="24"/>
          <w:szCs w:val="24"/>
          <w:lang w:eastAsia="it-IT"/>
        </w:rPr>
        <w:t xml:space="preserve"> è anche l’autore dell’abuso</w:t>
      </w:r>
      <w:r w:rsidR="00FB78E3">
        <w:rPr>
          <w:rFonts w:ascii="Times New Roman" w:eastAsia="Times New Roman" w:hAnsi="Times New Roman" w:cs="Times New Roman"/>
          <w:sz w:val="24"/>
          <w:szCs w:val="24"/>
          <w:lang w:eastAsia="it-IT"/>
        </w:rPr>
        <w:t>, il quale</w:t>
      </w:r>
      <w:r w:rsidR="00AB77F5">
        <w:rPr>
          <w:rFonts w:ascii="Times New Roman" w:eastAsia="Times New Roman" w:hAnsi="Times New Roman" w:cs="Times New Roman"/>
          <w:sz w:val="24"/>
          <w:szCs w:val="24"/>
          <w:lang w:eastAsia="it-IT"/>
        </w:rPr>
        <w:t xml:space="preserve"> vedrebbe il bene compravenduto ritornare nella sua sfera patrimoniale </w:t>
      </w:r>
      <w:r w:rsidR="00FB78E3">
        <w:rPr>
          <w:rFonts w:ascii="Times New Roman" w:eastAsia="Times New Roman" w:hAnsi="Times New Roman" w:cs="Times New Roman"/>
          <w:sz w:val="24"/>
          <w:szCs w:val="24"/>
          <w:lang w:eastAsia="it-IT"/>
        </w:rPr>
        <w:t xml:space="preserve">in virtù della declaratoria di nullità dell’atto di trasferimento </w:t>
      </w:r>
      <w:r w:rsidR="00AB77F5">
        <w:rPr>
          <w:rFonts w:ascii="Times New Roman" w:eastAsia="Times New Roman" w:hAnsi="Times New Roman" w:cs="Times New Roman"/>
          <w:sz w:val="24"/>
          <w:szCs w:val="24"/>
          <w:lang w:eastAsia="it-IT"/>
        </w:rPr>
        <w:t>e, con la complicità del tempo, si parrebbe al riparo anche da eventuali richieste restitutorie</w:t>
      </w:r>
      <w:r w:rsidR="00FB78E3">
        <w:rPr>
          <w:rFonts w:ascii="Times New Roman" w:eastAsia="Times New Roman" w:hAnsi="Times New Roman" w:cs="Times New Roman"/>
          <w:sz w:val="24"/>
          <w:szCs w:val="24"/>
          <w:lang w:eastAsia="it-IT"/>
        </w:rPr>
        <w:t xml:space="preserve"> essendo maturati i termini di prescrizione della stessa</w:t>
      </w:r>
      <w:r w:rsidR="00C71119">
        <w:rPr>
          <w:rFonts w:ascii="Times New Roman" w:eastAsia="Times New Roman" w:hAnsi="Times New Roman" w:cs="Times New Roman"/>
          <w:sz w:val="24"/>
          <w:szCs w:val="24"/>
          <w:lang w:eastAsia="it-IT"/>
        </w:rPr>
        <w:t>.</w:t>
      </w:r>
      <w:r w:rsidR="00AB77F5">
        <w:rPr>
          <w:rFonts w:ascii="Times New Roman" w:eastAsia="Times New Roman" w:hAnsi="Times New Roman" w:cs="Times New Roman"/>
          <w:sz w:val="24"/>
          <w:szCs w:val="24"/>
          <w:lang w:eastAsia="it-IT"/>
        </w:rPr>
        <w:t xml:space="preserve"> </w:t>
      </w:r>
      <w:r w:rsidR="00C71119">
        <w:rPr>
          <w:rFonts w:ascii="Times New Roman" w:eastAsia="Times New Roman" w:hAnsi="Times New Roman" w:cs="Times New Roman"/>
          <w:sz w:val="24"/>
          <w:szCs w:val="24"/>
          <w:lang w:eastAsia="it-IT"/>
        </w:rPr>
        <w:t xml:space="preserve">Né tanto meno, una eventuale negligenza dell’acquirente </w:t>
      </w:r>
      <w:r w:rsidR="00FB78E3">
        <w:rPr>
          <w:rFonts w:ascii="Times New Roman" w:eastAsia="Times New Roman" w:hAnsi="Times New Roman" w:cs="Times New Roman"/>
          <w:sz w:val="24"/>
          <w:szCs w:val="24"/>
          <w:lang w:eastAsia="it-IT"/>
        </w:rPr>
        <w:t xml:space="preserve">con riferimento all’onere di verifica della regolarità urbanistica dell’immobile acquistato, </w:t>
      </w:r>
      <w:r w:rsidR="00C71119">
        <w:rPr>
          <w:rFonts w:ascii="Times New Roman" w:eastAsia="Times New Roman" w:hAnsi="Times New Roman" w:cs="Times New Roman"/>
          <w:sz w:val="24"/>
          <w:szCs w:val="24"/>
          <w:lang w:eastAsia="it-IT"/>
        </w:rPr>
        <w:t xml:space="preserve">è idonea a dare fondamento ad una simile impostazione, rilevando tutt’al più in sede di perimetrazione del </w:t>
      </w:r>
      <w:r w:rsidR="00C96FB0" w:rsidRPr="00C96FB0">
        <w:rPr>
          <w:rFonts w:ascii="Times New Roman" w:eastAsia="Times New Roman" w:hAnsi="Times New Roman" w:cs="Times New Roman"/>
          <w:sz w:val="24"/>
          <w:szCs w:val="24"/>
          <w:lang w:eastAsia="it-IT"/>
        </w:rPr>
        <w:t xml:space="preserve">risarcimento </w:t>
      </w:r>
      <w:r w:rsidR="00FB78E3">
        <w:rPr>
          <w:rFonts w:ascii="Times New Roman" w:eastAsia="Times New Roman" w:hAnsi="Times New Roman" w:cs="Times New Roman"/>
          <w:sz w:val="24"/>
          <w:szCs w:val="24"/>
          <w:lang w:eastAsia="it-IT"/>
        </w:rPr>
        <w:t>dei danni patiti</w:t>
      </w:r>
      <w:r w:rsidR="00C71119">
        <w:rPr>
          <w:rFonts w:ascii="Times New Roman" w:eastAsia="Times New Roman" w:hAnsi="Times New Roman" w:cs="Times New Roman"/>
          <w:sz w:val="24"/>
          <w:szCs w:val="24"/>
          <w:lang w:eastAsia="it-IT"/>
        </w:rPr>
        <w:t xml:space="preserve">. </w:t>
      </w:r>
      <w:r w:rsidR="00A00970">
        <w:rPr>
          <w:rFonts w:ascii="Times New Roman" w:eastAsia="Times New Roman" w:hAnsi="Times New Roman" w:cs="Times New Roman"/>
          <w:sz w:val="24"/>
          <w:szCs w:val="24"/>
          <w:lang w:eastAsia="it-IT"/>
        </w:rPr>
        <w:t xml:space="preserve">Non ci resta che attendere la pronuncia del Supremo Consesso della </w:t>
      </w:r>
      <w:bookmarkStart w:id="3" w:name="_GoBack"/>
      <w:bookmarkEnd w:id="3"/>
      <w:r w:rsidR="00A00970">
        <w:rPr>
          <w:rFonts w:ascii="Times New Roman" w:eastAsia="Times New Roman" w:hAnsi="Times New Roman" w:cs="Times New Roman"/>
          <w:sz w:val="24"/>
          <w:szCs w:val="24"/>
          <w:lang w:eastAsia="it-IT"/>
        </w:rPr>
        <w:t>Corte di Cassazione</w:t>
      </w:r>
      <w:r w:rsidR="00FB78E3">
        <w:rPr>
          <w:rFonts w:ascii="Times New Roman" w:eastAsia="Times New Roman" w:hAnsi="Times New Roman" w:cs="Times New Roman"/>
          <w:sz w:val="24"/>
          <w:szCs w:val="24"/>
          <w:lang w:eastAsia="it-IT"/>
        </w:rPr>
        <w:t xml:space="preserve">, auspicando un </w:t>
      </w:r>
      <w:r w:rsidR="00FB78E3" w:rsidRPr="000A6620">
        <w:rPr>
          <w:rFonts w:ascii="Times New Roman" w:eastAsia="Times New Roman" w:hAnsi="Times New Roman" w:cs="Times New Roman"/>
          <w:i/>
          <w:sz w:val="24"/>
          <w:szCs w:val="24"/>
          <w:lang w:eastAsia="it-IT"/>
        </w:rPr>
        <w:t>ritorno al diritto</w:t>
      </w:r>
      <w:r w:rsidR="00A00970">
        <w:rPr>
          <w:rFonts w:ascii="Times New Roman" w:eastAsia="Times New Roman" w:hAnsi="Times New Roman" w:cs="Times New Roman"/>
          <w:sz w:val="24"/>
          <w:szCs w:val="24"/>
          <w:lang w:eastAsia="it-IT"/>
        </w:rPr>
        <w:t>.</w:t>
      </w:r>
    </w:p>
    <w:sectPr w:rsidR="00FD0878" w:rsidSect="00041D44">
      <w:pgSz w:w="11906" w:h="16838" w:code="9"/>
      <w:pgMar w:top="1440" w:right="1440" w:bottom="1440" w:left="1440" w:header="709" w:footer="709" w:gutter="0"/>
      <w:pgBorders w:display="firstPage" w:offsetFrom="page">
        <w:top w:val="single" w:sz="6" w:space="31" w:color="auto"/>
        <w:left w:val="single" w:sz="6" w:space="31" w:color="auto"/>
        <w:bottom w:val="single" w:sz="6" w:space="31" w:color="auto"/>
        <w:right w:val="single" w:sz="6" w:space="31" w:color="auto"/>
      </w:pgBorders>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0D8BA" w14:textId="77777777" w:rsidR="00ED6BCC" w:rsidRDefault="00ED6BCC" w:rsidP="00A17C61">
      <w:pPr>
        <w:spacing w:after="0" w:line="240" w:lineRule="auto"/>
      </w:pPr>
      <w:r>
        <w:separator/>
      </w:r>
    </w:p>
  </w:endnote>
  <w:endnote w:type="continuationSeparator" w:id="0">
    <w:p w14:paraId="3AD9DB64" w14:textId="77777777" w:rsidR="00ED6BCC" w:rsidRDefault="00ED6BCC" w:rsidP="00A1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24754" w14:textId="77777777" w:rsidR="00ED6BCC" w:rsidRDefault="00ED6BCC" w:rsidP="00A17C61">
      <w:pPr>
        <w:spacing w:after="0" w:line="240" w:lineRule="auto"/>
      </w:pPr>
      <w:r>
        <w:separator/>
      </w:r>
    </w:p>
  </w:footnote>
  <w:footnote w:type="continuationSeparator" w:id="0">
    <w:p w14:paraId="703CCEEC" w14:textId="77777777" w:rsidR="00ED6BCC" w:rsidRDefault="00ED6BCC" w:rsidP="00A17C61">
      <w:pPr>
        <w:spacing w:after="0" w:line="240" w:lineRule="auto"/>
      </w:pPr>
      <w:r>
        <w:continuationSeparator/>
      </w:r>
    </w:p>
  </w:footnote>
  <w:footnote w:id="1">
    <w:p w14:paraId="53CFA305" w14:textId="52232345" w:rsidR="00C50F81" w:rsidRPr="007F4D65" w:rsidRDefault="00C50F81" w:rsidP="007F4D65">
      <w:pPr>
        <w:pStyle w:val="Testonotaapidipagina"/>
        <w:spacing w:line="360" w:lineRule="auto"/>
        <w:ind w:left="0" w:right="95" w:firstLine="425"/>
        <w:rPr>
          <w:rFonts w:ascii="Times New Roman" w:hAnsi="Times New Roman" w:cs="Times New Roman"/>
        </w:rPr>
      </w:pPr>
      <w:r w:rsidRPr="007F4D65">
        <w:rPr>
          <w:rStyle w:val="Rimandonotaapidipagina"/>
          <w:rFonts w:ascii="Times New Roman" w:hAnsi="Times New Roman" w:cs="Times New Roman"/>
        </w:rPr>
        <w:footnoteRef/>
      </w:r>
      <w:r w:rsidRPr="007F4D65">
        <w:rPr>
          <w:rFonts w:ascii="Times New Roman" w:hAnsi="Times New Roman" w:cs="Times New Roman"/>
        </w:rPr>
        <w:t xml:space="preserve"> Cass., 05.07.2013,  n. 16876</w:t>
      </w:r>
      <w:r>
        <w:rPr>
          <w:rFonts w:ascii="Times New Roman" w:hAnsi="Times New Roman" w:cs="Times New Roman"/>
        </w:rPr>
        <w:t>.</w:t>
      </w:r>
    </w:p>
  </w:footnote>
  <w:footnote w:id="2">
    <w:p w14:paraId="55F8A5A3" w14:textId="290CFF0F" w:rsidR="00C50F81" w:rsidRPr="007F4D65" w:rsidRDefault="00C50F81" w:rsidP="007F4D65">
      <w:pPr>
        <w:pStyle w:val="Testonotaapidipagina"/>
        <w:spacing w:line="360" w:lineRule="auto"/>
        <w:ind w:left="0" w:right="95" w:firstLine="425"/>
        <w:rPr>
          <w:rFonts w:ascii="Times New Roman" w:hAnsi="Times New Roman" w:cs="Times New Roman"/>
        </w:rPr>
      </w:pPr>
      <w:r w:rsidRPr="007F4D65">
        <w:rPr>
          <w:rStyle w:val="Rimandonotaapidipagina"/>
          <w:rFonts w:ascii="Times New Roman" w:hAnsi="Times New Roman" w:cs="Times New Roman"/>
        </w:rPr>
        <w:footnoteRef/>
      </w:r>
      <w:r w:rsidRPr="007F4D65">
        <w:rPr>
          <w:rFonts w:ascii="Times New Roman" w:hAnsi="Times New Roman" w:cs="Times New Roman"/>
        </w:rPr>
        <w:t xml:space="preserve"> Cass., </w:t>
      </w:r>
      <w:bookmarkStart w:id="2" w:name="_Hlk536181873"/>
      <w:r w:rsidRPr="007F4D65">
        <w:rPr>
          <w:rFonts w:ascii="Times New Roman" w:hAnsi="Times New Roman" w:cs="Times New Roman"/>
        </w:rPr>
        <w:t>17.10.2013, n. 23591</w:t>
      </w:r>
      <w:bookmarkEnd w:id="2"/>
      <w:r w:rsidRPr="007F4D65">
        <w:rPr>
          <w:rFonts w:ascii="Times New Roman" w:hAnsi="Times New Roman" w:cs="Times New Roman"/>
        </w:rPr>
        <w:t>, e Cass., 05.12.2014,  n. 25811</w:t>
      </w:r>
      <w:r>
        <w:rPr>
          <w:rFonts w:ascii="Times New Roman" w:hAnsi="Times New Roman" w:cs="Times New Roman"/>
        </w:rPr>
        <w:t>.</w:t>
      </w:r>
    </w:p>
  </w:footnote>
  <w:footnote w:id="3">
    <w:p w14:paraId="4ADA82E5" w14:textId="72A1B8FD" w:rsidR="00C50F81" w:rsidRPr="007F4D65" w:rsidRDefault="00C50F81" w:rsidP="007F4D65">
      <w:pPr>
        <w:pStyle w:val="Testonotaapidipagina"/>
        <w:spacing w:line="360" w:lineRule="auto"/>
        <w:ind w:left="0" w:right="95" w:firstLine="425"/>
        <w:rPr>
          <w:rFonts w:ascii="Times New Roman" w:hAnsi="Times New Roman" w:cs="Times New Roman"/>
        </w:rPr>
      </w:pPr>
      <w:r w:rsidRPr="007F4D65">
        <w:rPr>
          <w:rStyle w:val="Rimandonotaapidipagina"/>
          <w:rFonts w:ascii="Times New Roman" w:hAnsi="Times New Roman" w:cs="Times New Roman"/>
        </w:rPr>
        <w:footnoteRef/>
      </w:r>
      <w:r w:rsidRPr="007F4D65">
        <w:rPr>
          <w:rFonts w:ascii="Times New Roman" w:hAnsi="Times New Roman" w:cs="Times New Roman"/>
        </w:rPr>
        <w:t xml:space="preserve"> </w:t>
      </w:r>
      <w:r w:rsidRPr="007F4D65">
        <w:rPr>
          <w:rFonts w:ascii="Times New Roman" w:eastAsia="Times New Roman" w:hAnsi="Times New Roman" w:cs="Times New Roman"/>
          <w:lang w:eastAsia="it-IT"/>
        </w:rPr>
        <w:t xml:space="preserve">Cass. 15 giugno 2000 n. 8147: </w:t>
      </w:r>
      <w:r w:rsidRPr="007F4D65">
        <w:rPr>
          <w:rFonts w:ascii="Times New Roman" w:eastAsia="Times New Roman" w:hAnsi="Times New Roman" w:cs="Times New Roman"/>
          <w:i/>
          <w:lang w:eastAsia="it-IT"/>
        </w:rPr>
        <w:t>“l’art. 40 legge 47/1985 detta una prescrizione puramente formale tanto che, a prescindere dalla regolarità effettiva dell’immobile, il contratto sarà comunque nullo se carente delle dichiarazioni prescritte”</w:t>
      </w:r>
      <w:r>
        <w:rPr>
          <w:rFonts w:ascii="Times New Roman" w:eastAsia="Times New Roman" w:hAnsi="Times New Roman" w:cs="Times New Roman"/>
          <w:lang w:eastAsia="it-IT"/>
        </w:rPr>
        <w:t>.</w:t>
      </w:r>
    </w:p>
  </w:footnote>
  <w:footnote w:id="4">
    <w:p w14:paraId="1DCF5069" w14:textId="4142BA3F" w:rsidR="00C50F81" w:rsidRPr="007F4D65" w:rsidRDefault="00C50F81" w:rsidP="007F4D65">
      <w:pPr>
        <w:spacing w:line="360" w:lineRule="auto"/>
        <w:ind w:left="0" w:right="95" w:firstLine="425"/>
        <w:rPr>
          <w:rFonts w:ascii="Times New Roman" w:eastAsia="Times New Roman" w:hAnsi="Times New Roman" w:cs="Times New Roman"/>
          <w:sz w:val="20"/>
          <w:szCs w:val="20"/>
          <w:lang w:eastAsia="it-IT"/>
        </w:rPr>
      </w:pPr>
      <w:r w:rsidRPr="007F4D65">
        <w:rPr>
          <w:rStyle w:val="Rimandonotaapidipagina"/>
          <w:rFonts w:ascii="Times New Roman" w:hAnsi="Times New Roman" w:cs="Times New Roman"/>
          <w:sz w:val="20"/>
          <w:szCs w:val="20"/>
        </w:rPr>
        <w:footnoteRef/>
      </w:r>
      <w:r w:rsidRPr="007F4D65">
        <w:rPr>
          <w:rFonts w:ascii="Times New Roman" w:hAnsi="Times New Roman" w:cs="Times New Roman"/>
          <w:sz w:val="20"/>
          <w:szCs w:val="20"/>
        </w:rPr>
        <w:t xml:space="preserve"> </w:t>
      </w:r>
      <w:r w:rsidRPr="007F4D65">
        <w:rPr>
          <w:rFonts w:ascii="Times New Roman" w:eastAsia="Times New Roman" w:hAnsi="Times New Roman" w:cs="Times New Roman"/>
          <w:sz w:val="20"/>
          <w:szCs w:val="20"/>
          <w:lang w:eastAsia="it-IT"/>
        </w:rPr>
        <w:t>Cass. 24 marzo 2004 n. 5898</w:t>
      </w:r>
      <w:r>
        <w:rPr>
          <w:rFonts w:ascii="Times New Roman" w:eastAsia="Times New Roman" w:hAnsi="Times New Roman" w:cs="Times New Roman"/>
          <w:sz w:val="20"/>
          <w:szCs w:val="20"/>
          <w:lang w:eastAsia="it-IT"/>
        </w:rPr>
        <w:t>.</w:t>
      </w:r>
    </w:p>
  </w:footnote>
  <w:footnote w:id="5">
    <w:p w14:paraId="19EA1D8B" w14:textId="37EFD1F0" w:rsidR="00C50F81" w:rsidRPr="007F4D65" w:rsidRDefault="00C50F81" w:rsidP="007F4D65">
      <w:pPr>
        <w:pStyle w:val="Testonotaapidipagina"/>
        <w:spacing w:line="360" w:lineRule="auto"/>
        <w:ind w:left="0" w:right="95" w:firstLine="425"/>
        <w:rPr>
          <w:rFonts w:ascii="Times New Roman" w:hAnsi="Times New Roman" w:cs="Times New Roman"/>
        </w:rPr>
      </w:pPr>
      <w:r w:rsidRPr="007F4D65">
        <w:rPr>
          <w:rStyle w:val="Rimandonotaapidipagina"/>
          <w:rFonts w:ascii="Times New Roman" w:hAnsi="Times New Roman" w:cs="Times New Roman"/>
        </w:rPr>
        <w:footnoteRef/>
      </w:r>
      <w:r w:rsidRPr="007F4D65">
        <w:rPr>
          <w:rFonts w:ascii="Times New Roman" w:hAnsi="Times New Roman" w:cs="Times New Roman"/>
        </w:rPr>
        <w:t xml:space="preserve"> </w:t>
      </w:r>
      <w:r w:rsidRPr="007F4D65">
        <w:rPr>
          <w:rFonts w:ascii="Times New Roman" w:eastAsia="Times New Roman" w:hAnsi="Times New Roman" w:cs="Times New Roman"/>
          <w:lang w:eastAsia="it-IT"/>
        </w:rPr>
        <w:t>Cass. 19 dicembre 2006 n. 27129 (con riguardo speci</w:t>
      </w:r>
      <w:r w:rsidRPr="007F4D65">
        <w:rPr>
          <w:rFonts w:ascii="Times New Roman" w:hAnsi="Times New Roman" w:cs="Times New Roman"/>
        </w:rPr>
        <w:t>fi</w:t>
      </w:r>
      <w:r w:rsidRPr="007F4D65">
        <w:rPr>
          <w:rFonts w:ascii="Times New Roman" w:eastAsia="Times New Roman" w:hAnsi="Times New Roman" w:cs="Times New Roman"/>
          <w:lang w:eastAsia="it-IT"/>
        </w:rPr>
        <w:t>co ad un preliminare con il quale veniva promesso in vendita un immobile abusivo non sanabile)</w:t>
      </w:r>
      <w:r>
        <w:rPr>
          <w:rFonts w:ascii="Times New Roman" w:eastAsia="Times New Roman" w:hAnsi="Times New Roman" w:cs="Times New Roman"/>
          <w:lang w:eastAsia="it-IT"/>
        </w:rPr>
        <w:t>.</w:t>
      </w:r>
    </w:p>
  </w:footnote>
  <w:footnote w:id="6">
    <w:p w14:paraId="43FF57B1" w14:textId="02375559" w:rsidR="00C50F81" w:rsidRPr="007F4D65" w:rsidRDefault="00C50F81" w:rsidP="007F4D65">
      <w:pPr>
        <w:spacing w:line="360" w:lineRule="auto"/>
        <w:ind w:left="0" w:right="95" w:firstLine="425"/>
        <w:rPr>
          <w:rFonts w:ascii="Times New Roman" w:hAnsi="Times New Roman" w:cs="Times New Roman"/>
          <w:sz w:val="20"/>
          <w:szCs w:val="20"/>
        </w:rPr>
      </w:pPr>
      <w:r w:rsidRPr="007F4D65">
        <w:rPr>
          <w:rStyle w:val="Rimandonotaapidipagina"/>
          <w:rFonts w:ascii="Times New Roman" w:hAnsi="Times New Roman" w:cs="Times New Roman"/>
          <w:sz w:val="20"/>
          <w:szCs w:val="20"/>
        </w:rPr>
        <w:footnoteRef/>
      </w:r>
      <w:r w:rsidRPr="007F4D65">
        <w:rPr>
          <w:rFonts w:ascii="Times New Roman" w:hAnsi="Times New Roman" w:cs="Times New Roman"/>
          <w:sz w:val="20"/>
          <w:szCs w:val="20"/>
        </w:rPr>
        <w:t xml:space="preserve"> </w:t>
      </w:r>
      <w:r w:rsidRPr="007F4D65">
        <w:rPr>
          <w:rFonts w:ascii="Times New Roman" w:eastAsia="Times New Roman" w:hAnsi="Times New Roman" w:cs="Times New Roman"/>
          <w:sz w:val="20"/>
          <w:szCs w:val="20"/>
          <w:lang w:eastAsia="it-IT"/>
        </w:rPr>
        <w:t>Cass. 5 luglio 2013 n. 1687</w:t>
      </w:r>
      <w:r>
        <w:rPr>
          <w:rFonts w:ascii="Times New Roman" w:eastAsia="Times New Roman" w:hAnsi="Times New Roman" w:cs="Times New Roman"/>
          <w:sz w:val="20"/>
          <w:szCs w:val="20"/>
          <w:lang w:eastAsia="it-IT"/>
        </w:rPr>
        <w:t>.</w:t>
      </w:r>
    </w:p>
  </w:footnote>
  <w:footnote w:id="7">
    <w:p w14:paraId="5B486EFD" w14:textId="1EE2E9FD" w:rsidR="00C50F81" w:rsidRPr="007F4D65" w:rsidRDefault="00C50F81" w:rsidP="007F4D65">
      <w:pPr>
        <w:pStyle w:val="Testonotaapidipagina"/>
        <w:spacing w:line="360" w:lineRule="auto"/>
        <w:ind w:left="0" w:right="95" w:firstLine="425"/>
        <w:rPr>
          <w:rFonts w:ascii="Times New Roman" w:hAnsi="Times New Roman" w:cs="Times New Roman"/>
        </w:rPr>
      </w:pPr>
      <w:r w:rsidRPr="007F4D65">
        <w:rPr>
          <w:rStyle w:val="Rimandonotaapidipagina"/>
          <w:rFonts w:ascii="Times New Roman" w:hAnsi="Times New Roman" w:cs="Times New Roman"/>
        </w:rPr>
        <w:footnoteRef/>
      </w:r>
      <w:r w:rsidRPr="007F4D65">
        <w:rPr>
          <w:rFonts w:ascii="Times New Roman" w:hAnsi="Times New Roman" w:cs="Times New Roman"/>
        </w:rPr>
        <w:t xml:space="preserve"> </w:t>
      </w:r>
      <w:r w:rsidRPr="007F4D65">
        <w:rPr>
          <w:rFonts w:ascii="Times New Roman" w:eastAsia="Times New Roman" w:hAnsi="Times New Roman" w:cs="Times New Roman"/>
          <w:lang w:eastAsia="it-IT"/>
        </w:rPr>
        <w:t>Cass. 5 luglio 2013 n. 16876</w:t>
      </w:r>
      <w:r>
        <w:rPr>
          <w:rFonts w:ascii="Times New Roman" w:eastAsia="Times New Roman" w:hAnsi="Times New Roman" w:cs="Times New Roman"/>
          <w:lang w:eastAsia="it-IT"/>
        </w:rPr>
        <w:t>.</w:t>
      </w:r>
    </w:p>
  </w:footnote>
  <w:footnote w:id="8">
    <w:p w14:paraId="6D2761F1" w14:textId="60A11657" w:rsidR="00C50F81" w:rsidRPr="007F4D65" w:rsidRDefault="00C50F81" w:rsidP="007F4D65">
      <w:pPr>
        <w:spacing w:line="360" w:lineRule="auto"/>
        <w:ind w:left="0" w:right="95" w:firstLine="425"/>
        <w:rPr>
          <w:rFonts w:ascii="Times New Roman" w:eastAsia="Times New Roman" w:hAnsi="Times New Roman" w:cs="Times New Roman"/>
          <w:sz w:val="20"/>
          <w:szCs w:val="20"/>
          <w:lang w:eastAsia="it-IT"/>
        </w:rPr>
      </w:pPr>
      <w:r w:rsidRPr="007F4D65">
        <w:rPr>
          <w:rStyle w:val="Rimandonotaapidipagina"/>
          <w:rFonts w:ascii="Times New Roman" w:hAnsi="Times New Roman" w:cs="Times New Roman"/>
          <w:sz w:val="20"/>
          <w:szCs w:val="20"/>
        </w:rPr>
        <w:footnoteRef/>
      </w:r>
      <w:r w:rsidRPr="007F4D65">
        <w:rPr>
          <w:rFonts w:ascii="Times New Roman" w:hAnsi="Times New Roman" w:cs="Times New Roman"/>
          <w:sz w:val="20"/>
          <w:szCs w:val="20"/>
        </w:rPr>
        <w:t xml:space="preserve"> </w:t>
      </w:r>
      <w:r w:rsidRPr="007F4D65">
        <w:rPr>
          <w:rFonts w:ascii="Times New Roman" w:eastAsia="Times New Roman" w:hAnsi="Times New Roman" w:cs="Times New Roman"/>
          <w:sz w:val="20"/>
          <w:szCs w:val="20"/>
          <w:lang w:eastAsia="it-IT"/>
        </w:rPr>
        <w:t>Cass. 7 dicembre 2005 n. 26970</w:t>
      </w:r>
      <w:r>
        <w:rPr>
          <w:rFonts w:ascii="Times New Roman" w:eastAsia="Times New Roman" w:hAnsi="Times New Roman" w:cs="Times New Roman"/>
          <w:sz w:val="20"/>
          <w:szCs w:val="20"/>
          <w:lang w:eastAsia="it-IT"/>
        </w:rPr>
        <w:t>.</w:t>
      </w:r>
    </w:p>
    <w:p w14:paraId="5F079D32" w14:textId="59C54299" w:rsidR="00C50F81" w:rsidRDefault="00C50F81">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36CA5"/>
    <w:multiLevelType w:val="hybridMultilevel"/>
    <w:tmpl w:val="3EC8FC18"/>
    <w:lvl w:ilvl="0" w:tplc="B96CE106">
      <w:start w:val="1"/>
      <w:numFmt w:val="decimal"/>
      <w:lvlText w:val="%1."/>
      <w:lvlJc w:val="left"/>
      <w:pPr>
        <w:ind w:left="720" w:hanging="360"/>
      </w:pPr>
      <w:rPr>
        <w:rFonts w:hint="default"/>
        <w:b/>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3A0D00"/>
    <w:multiLevelType w:val="hybridMultilevel"/>
    <w:tmpl w:val="176E582A"/>
    <w:lvl w:ilvl="0" w:tplc="0410000F">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2605D6E"/>
    <w:multiLevelType w:val="hybridMultilevel"/>
    <w:tmpl w:val="09066FD4"/>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05CD3451"/>
    <w:multiLevelType w:val="hybridMultilevel"/>
    <w:tmpl w:val="4B58CD3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34A2BC3"/>
    <w:multiLevelType w:val="multilevel"/>
    <w:tmpl w:val="0FC08B5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5" w15:restartNumberingAfterBreak="0">
    <w:nsid w:val="1F233FEF"/>
    <w:multiLevelType w:val="multilevel"/>
    <w:tmpl w:val="F6E8E60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1F276079"/>
    <w:multiLevelType w:val="multilevel"/>
    <w:tmpl w:val="0FC08B5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7" w15:restartNumberingAfterBreak="0">
    <w:nsid w:val="3B9C11D6"/>
    <w:multiLevelType w:val="hybridMultilevel"/>
    <w:tmpl w:val="50F8C0F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3C7B07CF"/>
    <w:multiLevelType w:val="hybridMultilevel"/>
    <w:tmpl w:val="FD6253B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06F6A4C"/>
    <w:multiLevelType w:val="hybridMultilevel"/>
    <w:tmpl w:val="C27C90D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3052896"/>
    <w:multiLevelType w:val="hybridMultilevel"/>
    <w:tmpl w:val="70BA22EC"/>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62496958"/>
    <w:multiLevelType w:val="hybridMultilevel"/>
    <w:tmpl w:val="263E5F42"/>
    <w:lvl w:ilvl="0" w:tplc="0410000F">
      <w:start w:val="1"/>
      <w:numFmt w:val="decimal"/>
      <w:lvlText w:val="%1."/>
      <w:lvlJc w:val="left"/>
      <w:pPr>
        <w:ind w:left="1800" w:hanging="360"/>
      </w:pPr>
      <w:rPr>
        <w:rFont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2" w15:restartNumberingAfterBreak="0">
    <w:nsid w:val="6BE9140A"/>
    <w:multiLevelType w:val="hybridMultilevel"/>
    <w:tmpl w:val="BFD86B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1E77204"/>
    <w:multiLevelType w:val="multilevel"/>
    <w:tmpl w:val="930A4B1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4" w15:restartNumberingAfterBreak="0">
    <w:nsid w:val="7FE37F34"/>
    <w:multiLevelType w:val="hybridMultilevel"/>
    <w:tmpl w:val="C83C580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8"/>
  </w:num>
  <w:num w:numId="3">
    <w:abstractNumId w:val="12"/>
  </w:num>
  <w:num w:numId="4">
    <w:abstractNumId w:val="9"/>
  </w:num>
  <w:num w:numId="5">
    <w:abstractNumId w:val="14"/>
  </w:num>
  <w:num w:numId="6">
    <w:abstractNumId w:val="5"/>
  </w:num>
  <w:num w:numId="7">
    <w:abstractNumId w:val="13"/>
  </w:num>
  <w:num w:numId="8">
    <w:abstractNumId w:val="4"/>
  </w:num>
  <w:num w:numId="9">
    <w:abstractNumId w:val="6"/>
  </w:num>
  <w:num w:numId="10">
    <w:abstractNumId w:val="7"/>
  </w:num>
  <w:num w:numId="11">
    <w:abstractNumId w:val="2"/>
  </w:num>
  <w:num w:numId="12">
    <w:abstractNumId w:val="10"/>
  </w:num>
  <w:num w:numId="13">
    <w:abstractNumId w:val="11"/>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733"/>
    <w:rsid w:val="00000B65"/>
    <w:rsid w:val="00000CCF"/>
    <w:rsid w:val="00004951"/>
    <w:rsid w:val="0001372F"/>
    <w:rsid w:val="00013808"/>
    <w:rsid w:val="00016819"/>
    <w:rsid w:val="00017BDD"/>
    <w:rsid w:val="000213B7"/>
    <w:rsid w:val="0002502B"/>
    <w:rsid w:val="000260D0"/>
    <w:rsid w:val="00033473"/>
    <w:rsid w:val="00034D81"/>
    <w:rsid w:val="00041D44"/>
    <w:rsid w:val="00044254"/>
    <w:rsid w:val="00050CD4"/>
    <w:rsid w:val="000545FC"/>
    <w:rsid w:val="000618E1"/>
    <w:rsid w:val="0007238B"/>
    <w:rsid w:val="000745E9"/>
    <w:rsid w:val="00075E0D"/>
    <w:rsid w:val="00081D8F"/>
    <w:rsid w:val="00087B51"/>
    <w:rsid w:val="00093206"/>
    <w:rsid w:val="000939F3"/>
    <w:rsid w:val="00095AB8"/>
    <w:rsid w:val="0009738E"/>
    <w:rsid w:val="000A4646"/>
    <w:rsid w:val="000A59AE"/>
    <w:rsid w:val="000A6620"/>
    <w:rsid w:val="000A68DD"/>
    <w:rsid w:val="000C23CF"/>
    <w:rsid w:val="000D18BB"/>
    <w:rsid w:val="000D3792"/>
    <w:rsid w:val="000E2861"/>
    <w:rsid w:val="000E3854"/>
    <w:rsid w:val="00100378"/>
    <w:rsid w:val="00106C62"/>
    <w:rsid w:val="00107C49"/>
    <w:rsid w:val="00113416"/>
    <w:rsid w:val="00115304"/>
    <w:rsid w:val="00126B03"/>
    <w:rsid w:val="001273A4"/>
    <w:rsid w:val="0013511D"/>
    <w:rsid w:val="0013620E"/>
    <w:rsid w:val="001408F1"/>
    <w:rsid w:val="00142A1E"/>
    <w:rsid w:val="00144000"/>
    <w:rsid w:val="00145824"/>
    <w:rsid w:val="001631C6"/>
    <w:rsid w:val="001643DE"/>
    <w:rsid w:val="0016627A"/>
    <w:rsid w:val="0017024A"/>
    <w:rsid w:val="001709D4"/>
    <w:rsid w:val="00172FC5"/>
    <w:rsid w:val="00180369"/>
    <w:rsid w:val="001825E5"/>
    <w:rsid w:val="00186839"/>
    <w:rsid w:val="00187DF5"/>
    <w:rsid w:val="00192389"/>
    <w:rsid w:val="001A07FE"/>
    <w:rsid w:val="001A34B3"/>
    <w:rsid w:val="001A7883"/>
    <w:rsid w:val="001B3A30"/>
    <w:rsid w:val="001C311C"/>
    <w:rsid w:val="001D6CC9"/>
    <w:rsid w:val="001E03EA"/>
    <w:rsid w:val="001E69BB"/>
    <w:rsid w:val="00221713"/>
    <w:rsid w:val="0023428C"/>
    <w:rsid w:val="00237765"/>
    <w:rsid w:val="0024264A"/>
    <w:rsid w:val="00242D27"/>
    <w:rsid w:val="00245528"/>
    <w:rsid w:val="00247853"/>
    <w:rsid w:val="0025355B"/>
    <w:rsid w:val="00254E55"/>
    <w:rsid w:val="0025671F"/>
    <w:rsid w:val="002718DC"/>
    <w:rsid w:val="002762D8"/>
    <w:rsid w:val="00276FF0"/>
    <w:rsid w:val="00282624"/>
    <w:rsid w:val="002834E6"/>
    <w:rsid w:val="00286820"/>
    <w:rsid w:val="002911FC"/>
    <w:rsid w:val="002940A1"/>
    <w:rsid w:val="002A2B7C"/>
    <w:rsid w:val="002A726D"/>
    <w:rsid w:val="002A751C"/>
    <w:rsid w:val="002B2A27"/>
    <w:rsid w:val="002B5522"/>
    <w:rsid w:val="002B573E"/>
    <w:rsid w:val="002D3C39"/>
    <w:rsid w:val="002D77F6"/>
    <w:rsid w:val="002E5B86"/>
    <w:rsid w:val="002E764B"/>
    <w:rsid w:val="002F5EB3"/>
    <w:rsid w:val="002F69F8"/>
    <w:rsid w:val="00302270"/>
    <w:rsid w:val="00315471"/>
    <w:rsid w:val="00320E71"/>
    <w:rsid w:val="00324544"/>
    <w:rsid w:val="00342A22"/>
    <w:rsid w:val="00347ED1"/>
    <w:rsid w:val="00356162"/>
    <w:rsid w:val="00356477"/>
    <w:rsid w:val="00371C20"/>
    <w:rsid w:val="00376807"/>
    <w:rsid w:val="003856FD"/>
    <w:rsid w:val="0039227D"/>
    <w:rsid w:val="00395873"/>
    <w:rsid w:val="003A13AC"/>
    <w:rsid w:val="003A2A4B"/>
    <w:rsid w:val="003A37F6"/>
    <w:rsid w:val="003C07FF"/>
    <w:rsid w:val="003C34E2"/>
    <w:rsid w:val="003C5AE6"/>
    <w:rsid w:val="003D7F1E"/>
    <w:rsid w:val="003F07E7"/>
    <w:rsid w:val="003F17A8"/>
    <w:rsid w:val="0040614B"/>
    <w:rsid w:val="00412415"/>
    <w:rsid w:val="00415D84"/>
    <w:rsid w:val="00433DBD"/>
    <w:rsid w:val="004354EC"/>
    <w:rsid w:val="00442FFE"/>
    <w:rsid w:val="00444642"/>
    <w:rsid w:val="004765B6"/>
    <w:rsid w:val="00482C6B"/>
    <w:rsid w:val="004960B7"/>
    <w:rsid w:val="004A4DE3"/>
    <w:rsid w:val="004A6E5F"/>
    <w:rsid w:val="004A6FC8"/>
    <w:rsid w:val="004A7C1D"/>
    <w:rsid w:val="004B7D9F"/>
    <w:rsid w:val="004C040C"/>
    <w:rsid w:val="004C77B2"/>
    <w:rsid w:val="004D06B7"/>
    <w:rsid w:val="004D5C94"/>
    <w:rsid w:val="004E2424"/>
    <w:rsid w:val="004E3C06"/>
    <w:rsid w:val="004E71CB"/>
    <w:rsid w:val="004F4499"/>
    <w:rsid w:val="004F4BD0"/>
    <w:rsid w:val="004F4DBA"/>
    <w:rsid w:val="004F78F8"/>
    <w:rsid w:val="00505756"/>
    <w:rsid w:val="00511A81"/>
    <w:rsid w:val="00513A41"/>
    <w:rsid w:val="00522751"/>
    <w:rsid w:val="00523104"/>
    <w:rsid w:val="00527A5C"/>
    <w:rsid w:val="005336F4"/>
    <w:rsid w:val="005412D5"/>
    <w:rsid w:val="0054547A"/>
    <w:rsid w:val="005454B3"/>
    <w:rsid w:val="00545862"/>
    <w:rsid w:val="00547035"/>
    <w:rsid w:val="005473EB"/>
    <w:rsid w:val="00554639"/>
    <w:rsid w:val="00562809"/>
    <w:rsid w:val="00564609"/>
    <w:rsid w:val="00573BC4"/>
    <w:rsid w:val="005743DF"/>
    <w:rsid w:val="00574FC7"/>
    <w:rsid w:val="00590239"/>
    <w:rsid w:val="00592BEA"/>
    <w:rsid w:val="005A2472"/>
    <w:rsid w:val="005A7A5B"/>
    <w:rsid w:val="005B4815"/>
    <w:rsid w:val="005B508F"/>
    <w:rsid w:val="005B63D1"/>
    <w:rsid w:val="005B7FC8"/>
    <w:rsid w:val="005C495D"/>
    <w:rsid w:val="005D4731"/>
    <w:rsid w:val="005E42A9"/>
    <w:rsid w:val="005F6139"/>
    <w:rsid w:val="0061014B"/>
    <w:rsid w:val="00610F53"/>
    <w:rsid w:val="006119D0"/>
    <w:rsid w:val="0061627E"/>
    <w:rsid w:val="00620E31"/>
    <w:rsid w:val="006521DB"/>
    <w:rsid w:val="006645F2"/>
    <w:rsid w:val="00664BA1"/>
    <w:rsid w:val="006652DC"/>
    <w:rsid w:val="00670D23"/>
    <w:rsid w:val="00684D45"/>
    <w:rsid w:val="00692740"/>
    <w:rsid w:val="00692E8C"/>
    <w:rsid w:val="006A01BC"/>
    <w:rsid w:val="006A04FB"/>
    <w:rsid w:val="006A0FEF"/>
    <w:rsid w:val="006A5B98"/>
    <w:rsid w:val="006A7AD8"/>
    <w:rsid w:val="006B1C09"/>
    <w:rsid w:val="006B2063"/>
    <w:rsid w:val="006B3F63"/>
    <w:rsid w:val="006B4A0D"/>
    <w:rsid w:val="006C2C5E"/>
    <w:rsid w:val="006E0625"/>
    <w:rsid w:val="006E0F8D"/>
    <w:rsid w:val="006E19A4"/>
    <w:rsid w:val="006E2A3B"/>
    <w:rsid w:val="006F3750"/>
    <w:rsid w:val="007006B1"/>
    <w:rsid w:val="00706AF4"/>
    <w:rsid w:val="00707BBF"/>
    <w:rsid w:val="00711C50"/>
    <w:rsid w:val="00717A4F"/>
    <w:rsid w:val="00722B9B"/>
    <w:rsid w:val="0075110B"/>
    <w:rsid w:val="007553E3"/>
    <w:rsid w:val="00766147"/>
    <w:rsid w:val="00766F2C"/>
    <w:rsid w:val="007722D1"/>
    <w:rsid w:val="00774C46"/>
    <w:rsid w:val="0077651B"/>
    <w:rsid w:val="0078040F"/>
    <w:rsid w:val="007837BB"/>
    <w:rsid w:val="00791C17"/>
    <w:rsid w:val="00796058"/>
    <w:rsid w:val="007A46E5"/>
    <w:rsid w:val="007A54E7"/>
    <w:rsid w:val="007B04E2"/>
    <w:rsid w:val="007B2604"/>
    <w:rsid w:val="007B4E50"/>
    <w:rsid w:val="007B5639"/>
    <w:rsid w:val="007B5DF2"/>
    <w:rsid w:val="007B701E"/>
    <w:rsid w:val="007C1B0D"/>
    <w:rsid w:val="007C39DA"/>
    <w:rsid w:val="007C3C12"/>
    <w:rsid w:val="007C6F17"/>
    <w:rsid w:val="007C748B"/>
    <w:rsid w:val="007C7A05"/>
    <w:rsid w:val="007D688A"/>
    <w:rsid w:val="007F0B6C"/>
    <w:rsid w:val="007F1695"/>
    <w:rsid w:val="007F19F1"/>
    <w:rsid w:val="007F4D65"/>
    <w:rsid w:val="007F5F71"/>
    <w:rsid w:val="00801D75"/>
    <w:rsid w:val="00817C42"/>
    <w:rsid w:val="00820DDB"/>
    <w:rsid w:val="00822C3A"/>
    <w:rsid w:val="008236EA"/>
    <w:rsid w:val="008263D6"/>
    <w:rsid w:val="0083035B"/>
    <w:rsid w:val="00836BE9"/>
    <w:rsid w:val="00837731"/>
    <w:rsid w:val="00845EB6"/>
    <w:rsid w:val="00846E61"/>
    <w:rsid w:val="00864027"/>
    <w:rsid w:val="00870B71"/>
    <w:rsid w:val="00871188"/>
    <w:rsid w:val="00891591"/>
    <w:rsid w:val="008922CE"/>
    <w:rsid w:val="00896AD2"/>
    <w:rsid w:val="008B2870"/>
    <w:rsid w:val="008B3C62"/>
    <w:rsid w:val="008B5931"/>
    <w:rsid w:val="008B6B79"/>
    <w:rsid w:val="008D2A70"/>
    <w:rsid w:val="008D3779"/>
    <w:rsid w:val="008F6733"/>
    <w:rsid w:val="00910079"/>
    <w:rsid w:val="0091220B"/>
    <w:rsid w:val="0091255F"/>
    <w:rsid w:val="0092023D"/>
    <w:rsid w:val="00923ED3"/>
    <w:rsid w:val="00927EB8"/>
    <w:rsid w:val="00931B4A"/>
    <w:rsid w:val="009345C2"/>
    <w:rsid w:val="00935EAD"/>
    <w:rsid w:val="009420CA"/>
    <w:rsid w:val="00955DD2"/>
    <w:rsid w:val="009615F1"/>
    <w:rsid w:val="009676AD"/>
    <w:rsid w:val="00971A2A"/>
    <w:rsid w:val="009742FE"/>
    <w:rsid w:val="00980142"/>
    <w:rsid w:val="00982259"/>
    <w:rsid w:val="009A5D99"/>
    <w:rsid w:val="009B3F4E"/>
    <w:rsid w:val="009C37E7"/>
    <w:rsid w:val="009C396A"/>
    <w:rsid w:val="009D6D56"/>
    <w:rsid w:val="009E4D51"/>
    <w:rsid w:val="009E62BC"/>
    <w:rsid w:val="009F151A"/>
    <w:rsid w:val="009F3A25"/>
    <w:rsid w:val="009F55DD"/>
    <w:rsid w:val="009F63A6"/>
    <w:rsid w:val="00A00970"/>
    <w:rsid w:val="00A04146"/>
    <w:rsid w:val="00A07EFE"/>
    <w:rsid w:val="00A17C61"/>
    <w:rsid w:val="00A2118D"/>
    <w:rsid w:val="00A32757"/>
    <w:rsid w:val="00A401D6"/>
    <w:rsid w:val="00A413FE"/>
    <w:rsid w:val="00A42B3C"/>
    <w:rsid w:val="00A47601"/>
    <w:rsid w:val="00A57953"/>
    <w:rsid w:val="00A63A28"/>
    <w:rsid w:val="00A65D29"/>
    <w:rsid w:val="00A66159"/>
    <w:rsid w:val="00A80C8E"/>
    <w:rsid w:val="00A83D95"/>
    <w:rsid w:val="00A84223"/>
    <w:rsid w:val="00A85850"/>
    <w:rsid w:val="00A8601A"/>
    <w:rsid w:val="00A87EDD"/>
    <w:rsid w:val="00A9071D"/>
    <w:rsid w:val="00A94B0E"/>
    <w:rsid w:val="00AA3B56"/>
    <w:rsid w:val="00AB5777"/>
    <w:rsid w:val="00AB77F5"/>
    <w:rsid w:val="00AC33D4"/>
    <w:rsid w:val="00AD0EA9"/>
    <w:rsid w:val="00AD14BE"/>
    <w:rsid w:val="00AE587C"/>
    <w:rsid w:val="00AF0DF3"/>
    <w:rsid w:val="00AF21B5"/>
    <w:rsid w:val="00AF4286"/>
    <w:rsid w:val="00B10B25"/>
    <w:rsid w:val="00B16B49"/>
    <w:rsid w:val="00B2271D"/>
    <w:rsid w:val="00B23249"/>
    <w:rsid w:val="00B26C29"/>
    <w:rsid w:val="00B376D5"/>
    <w:rsid w:val="00B66CF6"/>
    <w:rsid w:val="00B80340"/>
    <w:rsid w:val="00B834E8"/>
    <w:rsid w:val="00B83F5C"/>
    <w:rsid w:val="00B84880"/>
    <w:rsid w:val="00B85681"/>
    <w:rsid w:val="00BA01BB"/>
    <w:rsid w:val="00BA0D90"/>
    <w:rsid w:val="00BA5381"/>
    <w:rsid w:val="00BA6D6A"/>
    <w:rsid w:val="00BA783E"/>
    <w:rsid w:val="00BC18B8"/>
    <w:rsid w:val="00BC5049"/>
    <w:rsid w:val="00BE4870"/>
    <w:rsid w:val="00BE5116"/>
    <w:rsid w:val="00BF3D10"/>
    <w:rsid w:val="00BF3F46"/>
    <w:rsid w:val="00C0104B"/>
    <w:rsid w:val="00C034A6"/>
    <w:rsid w:val="00C07507"/>
    <w:rsid w:val="00C10AED"/>
    <w:rsid w:val="00C17E3F"/>
    <w:rsid w:val="00C2227C"/>
    <w:rsid w:val="00C32744"/>
    <w:rsid w:val="00C378D0"/>
    <w:rsid w:val="00C50F81"/>
    <w:rsid w:val="00C53D1F"/>
    <w:rsid w:val="00C61CC7"/>
    <w:rsid w:val="00C70CBB"/>
    <w:rsid w:val="00C71119"/>
    <w:rsid w:val="00C712E5"/>
    <w:rsid w:val="00C72A6B"/>
    <w:rsid w:val="00C85E54"/>
    <w:rsid w:val="00C91E80"/>
    <w:rsid w:val="00C92E1F"/>
    <w:rsid w:val="00C93436"/>
    <w:rsid w:val="00C9384C"/>
    <w:rsid w:val="00C94875"/>
    <w:rsid w:val="00C95D8B"/>
    <w:rsid w:val="00C96FB0"/>
    <w:rsid w:val="00CA2952"/>
    <w:rsid w:val="00CA5A9A"/>
    <w:rsid w:val="00CC2095"/>
    <w:rsid w:val="00CC604C"/>
    <w:rsid w:val="00CC7236"/>
    <w:rsid w:val="00CD7909"/>
    <w:rsid w:val="00CE4A46"/>
    <w:rsid w:val="00CE5B08"/>
    <w:rsid w:val="00CE6FA8"/>
    <w:rsid w:val="00CF69DC"/>
    <w:rsid w:val="00D06D06"/>
    <w:rsid w:val="00D07CA4"/>
    <w:rsid w:val="00D149E6"/>
    <w:rsid w:val="00D21673"/>
    <w:rsid w:val="00D269DA"/>
    <w:rsid w:val="00D302FB"/>
    <w:rsid w:val="00D378E1"/>
    <w:rsid w:val="00D43308"/>
    <w:rsid w:val="00D57155"/>
    <w:rsid w:val="00D57169"/>
    <w:rsid w:val="00D57569"/>
    <w:rsid w:val="00D620EC"/>
    <w:rsid w:val="00D6378D"/>
    <w:rsid w:val="00D72F46"/>
    <w:rsid w:val="00D84C6F"/>
    <w:rsid w:val="00D9171A"/>
    <w:rsid w:val="00D94ECE"/>
    <w:rsid w:val="00D95F11"/>
    <w:rsid w:val="00D97091"/>
    <w:rsid w:val="00D978ED"/>
    <w:rsid w:val="00DA06BA"/>
    <w:rsid w:val="00DB4017"/>
    <w:rsid w:val="00DB45B8"/>
    <w:rsid w:val="00DB7BF6"/>
    <w:rsid w:val="00DC477C"/>
    <w:rsid w:val="00DC73C1"/>
    <w:rsid w:val="00DE1A1B"/>
    <w:rsid w:val="00E0034B"/>
    <w:rsid w:val="00E0242C"/>
    <w:rsid w:val="00E101C4"/>
    <w:rsid w:val="00E154C5"/>
    <w:rsid w:val="00E230BD"/>
    <w:rsid w:val="00E24E74"/>
    <w:rsid w:val="00E34380"/>
    <w:rsid w:val="00E35EF0"/>
    <w:rsid w:val="00E4359A"/>
    <w:rsid w:val="00E44030"/>
    <w:rsid w:val="00E46F08"/>
    <w:rsid w:val="00E515AC"/>
    <w:rsid w:val="00E55413"/>
    <w:rsid w:val="00E626F2"/>
    <w:rsid w:val="00E6288A"/>
    <w:rsid w:val="00E73810"/>
    <w:rsid w:val="00E745B6"/>
    <w:rsid w:val="00E756DD"/>
    <w:rsid w:val="00E82F03"/>
    <w:rsid w:val="00E868A9"/>
    <w:rsid w:val="00E91A6D"/>
    <w:rsid w:val="00EB2760"/>
    <w:rsid w:val="00ED6BCC"/>
    <w:rsid w:val="00ED7EB2"/>
    <w:rsid w:val="00EE67BD"/>
    <w:rsid w:val="00EE703C"/>
    <w:rsid w:val="00EE71F9"/>
    <w:rsid w:val="00EF2B1C"/>
    <w:rsid w:val="00F00869"/>
    <w:rsid w:val="00F07334"/>
    <w:rsid w:val="00F14DB3"/>
    <w:rsid w:val="00F159BE"/>
    <w:rsid w:val="00F20892"/>
    <w:rsid w:val="00F21ACB"/>
    <w:rsid w:val="00F26CAB"/>
    <w:rsid w:val="00F30E14"/>
    <w:rsid w:val="00F31E2C"/>
    <w:rsid w:val="00F323B7"/>
    <w:rsid w:val="00F33116"/>
    <w:rsid w:val="00F331EF"/>
    <w:rsid w:val="00F36DD2"/>
    <w:rsid w:val="00F51492"/>
    <w:rsid w:val="00F51B4D"/>
    <w:rsid w:val="00F666C6"/>
    <w:rsid w:val="00F66C51"/>
    <w:rsid w:val="00F7094B"/>
    <w:rsid w:val="00F746C3"/>
    <w:rsid w:val="00F75A9B"/>
    <w:rsid w:val="00F80507"/>
    <w:rsid w:val="00F8213D"/>
    <w:rsid w:val="00F94EE5"/>
    <w:rsid w:val="00F9629C"/>
    <w:rsid w:val="00FA1D48"/>
    <w:rsid w:val="00FA2908"/>
    <w:rsid w:val="00FA68FC"/>
    <w:rsid w:val="00FB78E3"/>
    <w:rsid w:val="00FC0C20"/>
    <w:rsid w:val="00FC3CA6"/>
    <w:rsid w:val="00FC3EC0"/>
    <w:rsid w:val="00FD0878"/>
    <w:rsid w:val="00FD3F0E"/>
    <w:rsid w:val="00FD6853"/>
    <w:rsid w:val="00FD79C6"/>
    <w:rsid w:val="00FE47A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B459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480" w:lineRule="auto"/>
        <w:ind w:left="2410" w:right="1418" w:hanging="70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B4E50"/>
  </w:style>
  <w:style w:type="paragraph" w:styleId="Titolo1">
    <w:name w:val="heading 1"/>
    <w:basedOn w:val="Normale"/>
    <w:next w:val="Normale"/>
    <w:link w:val="Titolo1Carattere"/>
    <w:uiPriority w:val="9"/>
    <w:qFormat/>
    <w:rsid w:val="00A860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7C3C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8F6733"/>
    <w:pPr>
      <w:spacing w:before="100" w:beforeAutospacing="1" w:after="100" w:afterAutospacing="1" w:line="240" w:lineRule="auto"/>
      <w:ind w:left="0" w:right="0" w:firstLine="0"/>
      <w:jc w:val="left"/>
    </w:pPr>
    <w:rPr>
      <w:rFonts w:ascii="Times New Roman" w:eastAsia="Times New Roman" w:hAnsi="Times New Roman" w:cs="Times New Roman"/>
      <w:sz w:val="24"/>
      <w:szCs w:val="24"/>
      <w:lang w:eastAsia="it-IT"/>
    </w:rPr>
  </w:style>
  <w:style w:type="character" w:customStyle="1" w:styleId="apple-tab-span">
    <w:name w:val="apple-tab-span"/>
    <w:basedOn w:val="Carpredefinitoparagrafo"/>
    <w:rsid w:val="008F6733"/>
  </w:style>
  <w:style w:type="character" w:styleId="Collegamentoipertestuale">
    <w:name w:val="Hyperlink"/>
    <w:basedOn w:val="Carpredefinitoparagrafo"/>
    <w:uiPriority w:val="99"/>
    <w:unhideWhenUsed/>
    <w:rsid w:val="001631C6"/>
    <w:rPr>
      <w:color w:val="0563C1" w:themeColor="hyperlink"/>
      <w:u w:val="single"/>
    </w:rPr>
  </w:style>
  <w:style w:type="character" w:customStyle="1" w:styleId="Menzione1">
    <w:name w:val="Menzione1"/>
    <w:basedOn w:val="Carpredefinitoparagrafo"/>
    <w:uiPriority w:val="99"/>
    <w:semiHidden/>
    <w:unhideWhenUsed/>
    <w:rsid w:val="001631C6"/>
    <w:rPr>
      <w:color w:val="2B579A"/>
      <w:shd w:val="clear" w:color="auto" w:fill="E6E6E6"/>
    </w:rPr>
  </w:style>
  <w:style w:type="paragraph" w:styleId="Intestazione">
    <w:name w:val="header"/>
    <w:basedOn w:val="Normale"/>
    <w:link w:val="IntestazioneCarattere"/>
    <w:uiPriority w:val="99"/>
    <w:unhideWhenUsed/>
    <w:rsid w:val="00A17C6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17C61"/>
  </w:style>
  <w:style w:type="paragraph" w:styleId="Pidipagina">
    <w:name w:val="footer"/>
    <w:basedOn w:val="Normale"/>
    <w:link w:val="PidipaginaCarattere"/>
    <w:uiPriority w:val="99"/>
    <w:unhideWhenUsed/>
    <w:rsid w:val="00A17C6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17C61"/>
  </w:style>
  <w:style w:type="character" w:styleId="Rimandocommento">
    <w:name w:val="annotation reference"/>
    <w:basedOn w:val="Carpredefinitoparagrafo"/>
    <w:uiPriority w:val="99"/>
    <w:semiHidden/>
    <w:unhideWhenUsed/>
    <w:rsid w:val="00A9071D"/>
    <w:rPr>
      <w:sz w:val="16"/>
      <w:szCs w:val="16"/>
    </w:rPr>
  </w:style>
  <w:style w:type="paragraph" w:styleId="Testocommento">
    <w:name w:val="annotation text"/>
    <w:basedOn w:val="Normale"/>
    <w:link w:val="TestocommentoCarattere"/>
    <w:uiPriority w:val="99"/>
    <w:semiHidden/>
    <w:unhideWhenUsed/>
    <w:rsid w:val="00A9071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A9071D"/>
    <w:rPr>
      <w:sz w:val="20"/>
      <w:szCs w:val="20"/>
    </w:rPr>
  </w:style>
  <w:style w:type="paragraph" w:styleId="Soggettocommento">
    <w:name w:val="annotation subject"/>
    <w:basedOn w:val="Testocommento"/>
    <w:next w:val="Testocommento"/>
    <w:link w:val="SoggettocommentoCarattere"/>
    <w:uiPriority w:val="99"/>
    <w:semiHidden/>
    <w:unhideWhenUsed/>
    <w:rsid w:val="00A9071D"/>
    <w:rPr>
      <w:b/>
      <w:bCs/>
    </w:rPr>
  </w:style>
  <w:style w:type="character" w:customStyle="1" w:styleId="SoggettocommentoCarattere">
    <w:name w:val="Soggetto commento Carattere"/>
    <w:basedOn w:val="TestocommentoCarattere"/>
    <w:link w:val="Soggettocommento"/>
    <w:uiPriority w:val="99"/>
    <w:semiHidden/>
    <w:rsid w:val="00A9071D"/>
    <w:rPr>
      <w:b/>
      <w:bCs/>
      <w:sz w:val="20"/>
      <w:szCs w:val="20"/>
    </w:rPr>
  </w:style>
  <w:style w:type="paragraph" w:styleId="Testofumetto">
    <w:name w:val="Balloon Text"/>
    <w:basedOn w:val="Normale"/>
    <w:link w:val="TestofumettoCarattere"/>
    <w:uiPriority w:val="99"/>
    <w:semiHidden/>
    <w:unhideWhenUsed/>
    <w:rsid w:val="00A9071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9071D"/>
    <w:rPr>
      <w:rFonts w:ascii="Segoe UI" w:hAnsi="Segoe UI" w:cs="Segoe UI"/>
      <w:sz w:val="18"/>
      <w:szCs w:val="18"/>
    </w:rPr>
  </w:style>
  <w:style w:type="paragraph" w:styleId="Testonotaapidipagina">
    <w:name w:val="footnote text"/>
    <w:basedOn w:val="Normale"/>
    <w:link w:val="TestonotaapidipaginaCarattere"/>
    <w:uiPriority w:val="99"/>
    <w:unhideWhenUsed/>
    <w:rsid w:val="00774C4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774C46"/>
    <w:rPr>
      <w:sz w:val="20"/>
      <w:szCs w:val="20"/>
    </w:rPr>
  </w:style>
  <w:style w:type="character" w:styleId="Rimandonotaapidipagina">
    <w:name w:val="footnote reference"/>
    <w:basedOn w:val="Carpredefinitoparagrafo"/>
    <w:uiPriority w:val="99"/>
    <w:semiHidden/>
    <w:unhideWhenUsed/>
    <w:rsid w:val="00774C46"/>
    <w:rPr>
      <w:vertAlign w:val="superscript"/>
    </w:rPr>
  </w:style>
  <w:style w:type="character" w:customStyle="1" w:styleId="Titolo1Carattere">
    <w:name w:val="Titolo 1 Carattere"/>
    <w:basedOn w:val="Carpredefinitoparagrafo"/>
    <w:link w:val="Titolo1"/>
    <w:uiPriority w:val="9"/>
    <w:rsid w:val="00A8601A"/>
    <w:rPr>
      <w:rFonts w:asciiTheme="majorHAnsi" w:eastAsiaTheme="majorEastAsia" w:hAnsiTheme="majorHAnsi" w:cstheme="majorBidi"/>
      <w:color w:val="2F5496" w:themeColor="accent1" w:themeShade="BF"/>
      <w:sz w:val="32"/>
      <w:szCs w:val="32"/>
    </w:rPr>
  </w:style>
  <w:style w:type="paragraph" w:styleId="Titolosommario">
    <w:name w:val="TOC Heading"/>
    <w:basedOn w:val="Titolo1"/>
    <w:next w:val="Normale"/>
    <w:uiPriority w:val="39"/>
    <w:unhideWhenUsed/>
    <w:qFormat/>
    <w:rsid w:val="007C3C12"/>
    <w:pPr>
      <w:spacing w:line="259" w:lineRule="auto"/>
      <w:ind w:left="0" w:right="0" w:firstLine="0"/>
      <w:jc w:val="left"/>
      <w:outlineLvl w:val="9"/>
    </w:pPr>
    <w:rPr>
      <w:lang w:eastAsia="it-IT"/>
    </w:rPr>
  </w:style>
  <w:style w:type="paragraph" w:styleId="Sommario2">
    <w:name w:val="toc 2"/>
    <w:basedOn w:val="Normale"/>
    <w:next w:val="Normale"/>
    <w:autoRedefine/>
    <w:uiPriority w:val="39"/>
    <w:unhideWhenUsed/>
    <w:rsid w:val="007C3C12"/>
    <w:pPr>
      <w:spacing w:after="100" w:line="259" w:lineRule="auto"/>
      <w:ind w:left="220" w:right="0" w:firstLine="0"/>
      <w:jc w:val="left"/>
    </w:pPr>
    <w:rPr>
      <w:rFonts w:eastAsiaTheme="minorEastAsia" w:cs="Times New Roman"/>
      <w:lang w:eastAsia="it-IT"/>
    </w:rPr>
  </w:style>
  <w:style w:type="paragraph" w:styleId="Sommario1">
    <w:name w:val="toc 1"/>
    <w:basedOn w:val="Normale"/>
    <w:next w:val="Normale"/>
    <w:autoRedefine/>
    <w:uiPriority w:val="39"/>
    <w:unhideWhenUsed/>
    <w:rsid w:val="007C3C12"/>
    <w:pPr>
      <w:spacing w:after="100" w:line="259" w:lineRule="auto"/>
      <w:ind w:left="0" w:right="0" w:firstLine="0"/>
      <w:jc w:val="left"/>
    </w:pPr>
    <w:rPr>
      <w:rFonts w:eastAsiaTheme="minorEastAsia" w:cs="Times New Roman"/>
      <w:lang w:eastAsia="it-IT"/>
    </w:rPr>
  </w:style>
  <w:style w:type="paragraph" w:styleId="Sommario3">
    <w:name w:val="toc 3"/>
    <w:basedOn w:val="Normale"/>
    <w:next w:val="Normale"/>
    <w:autoRedefine/>
    <w:uiPriority w:val="39"/>
    <w:unhideWhenUsed/>
    <w:rsid w:val="007C3C12"/>
    <w:pPr>
      <w:spacing w:after="100" w:line="259" w:lineRule="auto"/>
      <w:ind w:left="440" w:right="0" w:firstLine="0"/>
      <w:jc w:val="left"/>
    </w:pPr>
    <w:rPr>
      <w:rFonts w:eastAsiaTheme="minorEastAsia" w:cs="Times New Roman"/>
      <w:lang w:eastAsia="it-IT"/>
    </w:rPr>
  </w:style>
  <w:style w:type="paragraph" w:styleId="Sottotitolo">
    <w:name w:val="Subtitle"/>
    <w:basedOn w:val="Normale"/>
    <w:next w:val="Normale"/>
    <w:link w:val="SottotitoloCarattere"/>
    <w:uiPriority w:val="11"/>
    <w:qFormat/>
    <w:rsid w:val="007C3C12"/>
    <w:pPr>
      <w:numPr>
        <w:ilvl w:val="1"/>
      </w:numPr>
      <w:ind w:left="2410" w:hanging="709"/>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7C3C12"/>
    <w:rPr>
      <w:rFonts w:eastAsiaTheme="minorEastAsia"/>
      <w:color w:val="5A5A5A" w:themeColor="text1" w:themeTint="A5"/>
      <w:spacing w:val="15"/>
    </w:rPr>
  </w:style>
  <w:style w:type="character" w:customStyle="1" w:styleId="Titolo2Carattere">
    <w:name w:val="Titolo 2 Carattere"/>
    <w:basedOn w:val="Carpredefinitoparagrafo"/>
    <w:link w:val="Titolo2"/>
    <w:uiPriority w:val="9"/>
    <w:rsid w:val="007C3C12"/>
    <w:rPr>
      <w:rFonts w:asciiTheme="majorHAnsi" w:eastAsiaTheme="majorEastAsia" w:hAnsiTheme="majorHAnsi" w:cstheme="majorBidi"/>
      <w:color w:val="2F5496" w:themeColor="accent1" w:themeShade="BF"/>
      <w:sz w:val="26"/>
      <w:szCs w:val="26"/>
    </w:rPr>
  </w:style>
  <w:style w:type="paragraph" w:styleId="Paragrafoelenco">
    <w:name w:val="List Paragraph"/>
    <w:basedOn w:val="Normale"/>
    <w:uiPriority w:val="34"/>
    <w:qFormat/>
    <w:rsid w:val="00A63A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81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7DE16-E456-472D-AAE3-3FDF6733C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4126</Words>
  <Characters>23522</Characters>
  <Application>Microsoft Office Word</Application>
  <DocSecurity>0</DocSecurity>
  <Lines>196</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paolodelgaudio.pdg@gmail.com</dc:creator>
  <cp:lastModifiedBy>PAOLO DEL GAUDIO</cp:lastModifiedBy>
  <cp:revision>25</cp:revision>
  <cp:lastPrinted>2019-01-23T18:22:00Z</cp:lastPrinted>
  <dcterms:created xsi:type="dcterms:W3CDTF">2019-01-19T16:28:00Z</dcterms:created>
  <dcterms:modified xsi:type="dcterms:W3CDTF">2019-01-31T12:36:00Z</dcterms:modified>
</cp:coreProperties>
</file>